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spacing w:lineRule="auto" w:line="360" w:before="0" w:after="0"/>
        <w:rPr>
          <w:rFonts w:cs="Times New Roman"/>
          <w:b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UMOWA </w:t>
      </w:r>
      <w:r>
        <w:rPr>
          <w:rFonts w:cs="Times New Roman"/>
          <w:b/>
          <w:sz w:val="24"/>
          <w:szCs w:val="24"/>
        </w:rPr>
        <w:t>nr ………………………………..</w:t>
      </w:r>
    </w:p>
    <w:p>
      <w:pPr>
        <w:pStyle w:val="Standard"/>
        <w:spacing w:lineRule="auto" w:line="360" w:before="0"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zawarta w dniu ………………………2021 roku w Nowej Rudzie pomiędzy:</w:t>
      </w:r>
    </w:p>
    <w:p>
      <w:pPr>
        <w:pStyle w:val="Standard"/>
        <w:spacing w:lineRule="auto" w:line="360" w:before="0"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Gminą Nowa Ruda, z siedzibą przy ul. Niepodległości 2, 57-400 Nowa Ruda,</w:t>
      </w:r>
    </w:p>
    <w:p>
      <w:pPr>
        <w:pStyle w:val="Standard"/>
        <w:spacing w:lineRule="auto" w:line="360" w:before="0"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reprezentowaną przez:</w:t>
      </w:r>
    </w:p>
    <w:p>
      <w:pPr>
        <w:pStyle w:val="Standard"/>
        <w:spacing w:lineRule="auto" w:line="360" w:before="0"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Zwaną dalej „Zamawiającym”</w:t>
      </w:r>
    </w:p>
    <w:p>
      <w:pPr>
        <w:pStyle w:val="Standard"/>
        <w:spacing w:lineRule="auto" w:line="360" w:before="0"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a……………………………………………………………………………………………………………………………………………..</w:t>
      </w:r>
    </w:p>
    <w:p>
      <w:pPr>
        <w:pStyle w:val="Standard"/>
        <w:spacing w:lineRule="auto" w:line="360" w:before="0"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Zwaną dalej „Wykonawcą</w:t>
      </w:r>
    </w:p>
    <w:p>
      <w:pPr>
        <w:pStyle w:val="Standard"/>
        <w:spacing w:lineRule="auto" w:line="360" w:before="0" w:after="0"/>
        <w:rPr/>
      </w:pPr>
      <w:r>
        <w:rPr>
          <w:rFonts w:cs="Times New Roman"/>
        </w:rPr>
        <w:t>Strony zawarły niniejszą umowę zgodnie z § 4 Regulaminu udzielania przez Gminę Nowa Ruda zamówień publicznych, których wartość nie przekracza kwoty 130.000 złotych, stanowiący załącznik do Zarządzenia Wójta Gminy Nowa Ruda nr 21/21 z dnia 18 stycznia 2021 roku.</w:t>
      </w:r>
    </w:p>
    <w:p>
      <w:pPr>
        <w:pStyle w:val="Standard"/>
        <w:spacing w:lineRule="auto" w:line="360" w:before="0"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§ 1. Przedmiot umowy</w:t>
      </w:r>
    </w:p>
    <w:p>
      <w:pPr>
        <w:pStyle w:val="ListParagraph"/>
        <w:numPr>
          <w:ilvl w:val="0"/>
          <w:numId w:val="31"/>
        </w:numPr>
        <w:spacing w:lineRule="auto" w:line="360" w:before="0" w:after="0"/>
        <w:rPr/>
      </w:pPr>
      <w:r>
        <w:rPr>
          <w:rFonts w:cs="Times New Roman"/>
          <w:sz w:val="24"/>
          <w:szCs w:val="24"/>
        </w:rPr>
        <w:t xml:space="preserve">Zamawiający zleca, a Wykonawca przyjmuje do wykonania zadanie pn.: </w:t>
      </w:r>
      <w:r>
        <w:rPr>
          <w:rFonts w:cs="Times New Roman"/>
          <w:b/>
          <w:bCs/>
          <w:sz w:val="24"/>
          <w:szCs w:val="24"/>
        </w:rPr>
        <w:t>„Określenie wartości nieruchomości gruntowych oraz drzewostanu w roku 2021 r. dla Gminy Nowa Ruda”.</w:t>
      </w:r>
    </w:p>
    <w:p>
      <w:pPr>
        <w:pStyle w:val="ListParagraph"/>
        <w:numPr>
          <w:ilvl w:val="0"/>
          <w:numId w:val="32"/>
        </w:numPr>
        <w:spacing w:lineRule="auto" w:line="360" w:before="0"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Zakres przedmiotu umowy, ceny oraz termin wykonania poszczególnych prac określa załącznik Nr 1 do umowy będący integralną częścią niniejszej umowy.</w:t>
      </w:r>
    </w:p>
    <w:p>
      <w:pPr>
        <w:pStyle w:val="Standard"/>
        <w:spacing w:lineRule="auto" w:line="360" w:before="0"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§ 2. Termin wykonania umowy</w:t>
      </w:r>
    </w:p>
    <w:p>
      <w:pPr>
        <w:pStyle w:val="ListParagraph"/>
        <w:numPr>
          <w:ilvl w:val="0"/>
          <w:numId w:val="33"/>
        </w:numPr>
        <w:spacing w:lineRule="auto" w:line="360" w:before="0"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Wykonawca zobowiązuje się do wykonywania przedmiotu umowy w terminie od dnia ……………………2021 roku do czasu zrealizowania wszystkich zleceń jednostkowych o których mowa w § 3 w zakresie obowiązywania umowy przekazanych do realizacji w roku 2021.</w:t>
      </w:r>
    </w:p>
    <w:p>
      <w:pPr>
        <w:pStyle w:val="ListParagraph"/>
        <w:numPr>
          <w:ilvl w:val="0"/>
          <w:numId w:val="34"/>
        </w:numPr>
        <w:spacing w:lineRule="auto" w:line="360" w:before="0"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Wykonawca zobowiązany jest do pisemnego powiadamiania Zamawiającego o okolicznościach mogących mieć wpływ na niedotrzymanie terminu wykonania przedmiotu umowy w nieprzekraczalnym terminie 3 dni od dnia wystąpienia tych okoliczności, jednak nie później niż 3 dni przed upływem terminu realizacji zlecenia jednostkowego wraz z przedstawieniem uzasadnienia.</w:t>
      </w:r>
    </w:p>
    <w:p>
      <w:pPr>
        <w:pStyle w:val="Standard"/>
        <w:spacing w:lineRule="auto" w:line="360" w:before="0"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§ 3</w:t>
      </w:r>
    </w:p>
    <w:p>
      <w:pPr>
        <w:pStyle w:val="ListParagraph"/>
        <w:numPr>
          <w:ilvl w:val="0"/>
          <w:numId w:val="35"/>
        </w:numPr>
        <w:spacing w:lineRule="auto" w:line="360" w:before="0" w:after="0"/>
        <w:rPr/>
      </w:pPr>
      <w:r>
        <w:rPr>
          <w:rFonts w:cs="Times New Roman"/>
          <w:sz w:val="24"/>
          <w:szCs w:val="24"/>
        </w:rPr>
        <w:t>Wykonawca będzie realizował przedmiot umowy na podstawie zleceń jednostkowych wystawionych przez Zamawiającego na pojedyncze zlecenia określające szczegółowy zakres i termin ich wykonania, zwane dalej „</w:t>
      </w:r>
      <w:r>
        <w:rPr>
          <w:rFonts w:cs="Times New Roman"/>
          <w:i/>
          <w:sz w:val="24"/>
          <w:szCs w:val="24"/>
        </w:rPr>
        <w:t>zleceniami jednostkowymi</w:t>
      </w:r>
      <w:r>
        <w:rPr>
          <w:rFonts w:cs="Times New Roman"/>
          <w:sz w:val="24"/>
          <w:szCs w:val="24"/>
        </w:rPr>
        <w:t>.”</w:t>
      </w:r>
    </w:p>
    <w:p>
      <w:pPr>
        <w:pStyle w:val="ListParagraph"/>
        <w:numPr>
          <w:ilvl w:val="0"/>
          <w:numId w:val="36"/>
        </w:numPr>
        <w:spacing w:lineRule="auto" w:line="360" w:before="0" w:after="0"/>
        <w:rPr/>
      </w:pPr>
      <w:r>
        <w:rPr>
          <w:rFonts w:cs="Times New Roman"/>
          <w:sz w:val="24"/>
          <w:szCs w:val="24"/>
        </w:rPr>
        <w:t xml:space="preserve">Ustalenie wartości nieruchomości, o których mowa w §1 ust. 2 nastąpi zgodnie z zasadami określonymi w ustawie o gospodarce nieruchomościami z dnia 21 sierpnia 1997 roku (Dz. U. 2021 poz. 1990 z późn. zm.), z rozporządzeniem Rady Ministrów z dnia 21 września 2004 roku w sprawie wyceny nieruchomości i sporządzania operatu </w:t>
      </w:r>
      <w:r>
        <w:rPr>
          <w:rFonts w:cs="Times New Roman"/>
          <w:sz w:val="24"/>
          <w:szCs w:val="24"/>
        </w:rPr>
        <w:t xml:space="preserve">szacunkowego </w:t>
      </w:r>
      <w:r>
        <w:rPr>
          <w:rFonts w:cs="Arial"/>
          <w:color w:val="333333"/>
          <w:sz w:val="24"/>
          <w:szCs w:val="24"/>
          <w:shd w:fill="FFFFFF" w:val="clear"/>
        </w:rPr>
        <w:t>(Dz. U. Nr 207, poz. 2109 z późn. zm.)</w:t>
      </w:r>
      <w:r>
        <w:rPr>
          <w:rFonts w:cs="Arial" w:ascii="Arial" w:hAnsi="Arial"/>
          <w:color w:val="333333"/>
          <w:sz w:val="18"/>
          <w:szCs w:val="18"/>
          <w:shd w:fill="FFFFFF" w:val="clear"/>
        </w:rPr>
        <w:t xml:space="preserve"> </w:t>
      </w:r>
      <w:r>
        <w:rPr>
          <w:rFonts w:cs="Times New Roman"/>
          <w:sz w:val="24"/>
          <w:szCs w:val="24"/>
        </w:rPr>
        <w:t>oraz w Standardach Zawodowych Rzeczoznawców Majątkowych.</w:t>
      </w:r>
    </w:p>
    <w:p>
      <w:pPr>
        <w:pStyle w:val="ListParagraph"/>
        <w:numPr>
          <w:ilvl w:val="0"/>
          <w:numId w:val="36"/>
        </w:numPr>
        <w:spacing w:lineRule="auto" w:line="360" w:before="0"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Wykonawca zobowiązany jest dostarczyć do siedziby Zamawiającego po 2 operaty szacunkowe będące efektem realizacji każdego zlecenia jednostkowego.</w:t>
      </w:r>
    </w:p>
    <w:p>
      <w:pPr>
        <w:pStyle w:val="ListParagraph"/>
        <w:numPr>
          <w:ilvl w:val="0"/>
          <w:numId w:val="36"/>
        </w:numPr>
        <w:spacing w:lineRule="auto" w:line="360" w:before="0"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Do bezwzględnego obowiązku wykonawcy w ramach realizacji niniejszej umowy należy wykonanie wszystkich innych czynności niezbędnych do wykonania z punktu widzenia celu któremu mają służyć.</w:t>
      </w:r>
    </w:p>
    <w:p>
      <w:pPr>
        <w:pStyle w:val="Standard"/>
        <w:spacing w:lineRule="auto" w:line="360" w:before="0"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§ 4. Wynagrodzenie Wykonawcy</w:t>
      </w:r>
    </w:p>
    <w:p>
      <w:pPr>
        <w:pStyle w:val="ListParagraph"/>
        <w:numPr>
          <w:ilvl w:val="0"/>
          <w:numId w:val="37"/>
        </w:numPr>
        <w:spacing w:lineRule="auto" w:line="360" w:before="0"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Za wykonanie zleceń jednostkowych Zamawiający zapłaci wynagrodzenie według cen jednostkowych brutto określonych w załączniku Nr 1 do niniejszej umowy.</w:t>
      </w:r>
    </w:p>
    <w:p>
      <w:pPr>
        <w:pStyle w:val="ListParagraph"/>
        <w:numPr>
          <w:ilvl w:val="0"/>
          <w:numId w:val="38"/>
        </w:numPr>
        <w:spacing w:lineRule="auto" w:line="360" w:before="0"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Wynagrodzenie o którym mowa w ust. 1 zawiera wszelkie koszty i wydatki związane z realizacją przedmiotu umowy i jest wynagrodzeniem ryczałtowym.</w:t>
      </w:r>
    </w:p>
    <w:p>
      <w:pPr>
        <w:pStyle w:val="ListParagraph"/>
        <w:numPr>
          <w:ilvl w:val="0"/>
          <w:numId w:val="38"/>
        </w:numPr>
        <w:spacing w:lineRule="auto" w:line="360" w:before="0"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Łączna wysokość wynagrodzenia z tytułu wykonania niniejszej umowy nie może przekroczyć w okresie jej trwania kwoty 18.100,00 zł netto.</w:t>
      </w:r>
    </w:p>
    <w:p>
      <w:pPr>
        <w:pStyle w:val="Standard"/>
        <w:spacing w:lineRule="auto" w:line="360" w:before="0"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§ 5. Podwykonawcy</w:t>
      </w:r>
    </w:p>
    <w:p>
      <w:pPr>
        <w:pStyle w:val="Standard"/>
        <w:spacing w:lineRule="auto" w:line="360" w:before="0"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Wykonawca nie może zlecić realizacji przedmiotu umowy podwykonawcy.</w:t>
      </w:r>
    </w:p>
    <w:p>
      <w:pPr>
        <w:pStyle w:val="Standard"/>
        <w:spacing w:lineRule="auto" w:line="360" w:before="0"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§ 6. Wykonanie przedmiotu umowy</w:t>
      </w:r>
    </w:p>
    <w:p>
      <w:pPr>
        <w:pStyle w:val="ListParagraph"/>
        <w:numPr>
          <w:ilvl w:val="0"/>
          <w:numId w:val="39"/>
        </w:numPr>
        <w:spacing w:lineRule="auto" w:line="360" w:before="0"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Wykonawca zobowiązuje się na własny koszt i ryzyko wykonać przedmiot niniejszej umowy.</w:t>
      </w:r>
    </w:p>
    <w:p>
      <w:pPr>
        <w:pStyle w:val="ListParagraph"/>
        <w:numPr>
          <w:ilvl w:val="0"/>
          <w:numId w:val="40"/>
        </w:numPr>
        <w:spacing w:lineRule="auto" w:line="360" w:before="0"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Wykonawca zobowiązany jest do:</w:t>
      </w:r>
    </w:p>
    <w:p>
      <w:pPr>
        <w:pStyle w:val="ListParagraph"/>
        <w:numPr>
          <w:ilvl w:val="0"/>
          <w:numId w:val="41"/>
        </w:numPr>
        <w:spacing w:lineRule="auto" w:line="360" w:before="0"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wykonania prac z zachowaniem należytej staranności,</w:t>
      </w:r>
    </w:p>
    <w:p>
      <w:pPr>
        <w:pStyle w:val="ListParagraph"/>
        <w:numPr>
          <w:ilvl w:val="0"/>
          <w:numId w:val="42"/>
        </w:numPr>
        <w:spacing w:lineRule="auto" w:line="360" w:before="0"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wykonania zleceń jednostkowych z zachowaniem zasad współczesnej wiedzy technicznej, obowiązującymi przepisami oraz obowiązującymi normami,</w:t>
      </w:r>
    </w:p>
    <w:p>
      <w:pPr>
        <w:pStyle w:val="ListParagraph"/>
        <w:numPr>
          <w:ilvl w:val="0"/>
          <w:numId w:val="42"/>
        </w:numPr>
        <w:spacing w:lineRule="auto" w:line="360" w:before="0"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terminowego wykonania zlecenia jednostkowego,</w:t>
      </w:r>
    </w:p>
    <w:p>
      <w:pPr>
        <w:pStyle w:val="ListParagraph"/>
        <w:numPr>
          <w:ilvl w:val="0"/>
          <w:numId w:val="42"/>
        </w:numPr>
        <w:spacing w:lineRule="auto" w:line="360" w:before="0"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usuwania w sposób terminowy i na swój koszt wad stwierdzonych przez Zamawiającego w operacie szacunkowym.</w:t>
      </w:r>
    </w:p>
    <w:p>
      <w:pPr>
        <w:pStyle w:val="Standard"/>
        <w:spacing w:lineRule="auto" w:line="360" w:before="0"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§ 7</w:t>
      </w:r>
    </w:p>
    <w:p>
      <w:pPr>
        <w:pStyle w:val="ListParagraph"/>
        <w:spacing w:lineRule="auto" w:line="360" w:before="0" w:after="0"/>
        <w:ind w:left="0" w:hanging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Prawidłowość wykonania zlecenia potwierdzana będzie posiadanym operatem szacunkowym bez wezwania do usunięcia wady.</w:t>
      </w:r>
    </w:p>
    <w:p>
      <w:pPr>
        <w:pStyle w:val="Standard"/>
        <w:spacing w:lineRule="auto" w:line="360" w:before="0" w:after="0"/>
        <w:rPr>
          <w:rFonts w:cs="Times New Roman"/>
          <w:vanish/>
          <w:sz w:val="24"/>
          <w:szCs w:val="24"/>
        </w:rPr>
      </w:pPr>
      <w:r>
        <w:rPr>
          <w:rFonts w:cs="Times New Roman"/>
          <w:sz w:val="24"/>
          <w:szCs w:val="24"/>
        </w:rPr>
        <w:t>§ 8. Odpowiedzialność za wady</w:t>
      </w:r>
    </w:p>
    <w:p>
      <w:pPr>
        <w:pStyle w:val="Standard"/>
        <w:spacing w:lineRule="auto" w:line="360" w:before="0"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</w:t>
      </w:r>
    </w:p>
    <w:p>
      <w:pPr>
        <w:pStyle w:val="ListParagraph"/>
        <w:numPr>
          <w:ilvl w:val="0"/>
          <w:numId w:val="43"/>
        </w:numPr>
        <w:spacing w:lineRule="auto" w:line="360" w:before="0"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Wykonawca na wykonane zlecenie jednostkowe udzieli 24 miesięcznej rękojmi od dnia dostarczenia operatu szacunkowego.</w:t>
      </w:r>
    </w:p>
    <w:p>
      <w:pPr>
        <w:pStyle w:val="ListParagraph"/>
        <w:numPr>
          <w:ilvl w:val="0"/>
          <w:numId w:val="44"/>
        </w:numPr>
        <w:spacing w:lineRule="auto" w:line="360" w:before="0"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Czas na usunięcie zgłoszonej wady wykonanego operatu szacunkowego, a ujawnionej w trakcie trwania umowy oraz w okresie rękojmi wyniesie maksymalnie 14 dni, chyba że usunięcie jej w tym terminie nie będzie możliwe z powodu okoliczności za które Wykonawca nie ponosi odpowiedzialności. Wówczas Zamawiający i Wykonawca ustalą ostateczny, możliwie ze względu na zaistniałe okoliczności termin usunięcia zgłoszonych wad.</w:t>
      </w:r>
    </w:p>
    <w:p>
      <w:pPr>
        <w:pStyle w:val="ListParagraph"/>
        <w:numPr>
          <w:ilvl w:val="0"/>
          <w:numId w:val="44"/>
        </w:numPr>
        <w:spacing w:lineRule="auto" w:line="360" w:before="0"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Wykonawca jest odpowiedzialny względem Zamawiającego za wszelkie wady                 w wykonaniu zlecenia jednostkowego.</w:t>
      </w:r>
    </w:p>
    <w:p>
      <w:pPr>
        <w:pStyle w:val="ListParagraph"/>
        <w:numPr>
          <w:ilvl w:val="0"/>
          <w:numId w:val="44"/>
        </w:numPr>
        <w:spacing w:lineRule="auto" w:line="360" w:before="0"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Wykonawca ponosi pełną odpowiedzialność za szkody poniesione przez Zamawiającego na skutek nie wykonania lub nienależytego wykonania zlecenia jednostkowego.</w:t>
      </w:r>
    </w:p>
    <w:p>
      <w:pPr>
        <w:pStyle w:val="Standard"/>
        <w:spacing w:lineRule="auto" w:line="360" w:before="0"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§ 9. Rozliczenie dowodów księgowych</w:t>
      </w:r>
    </w:p>
    <w:p>
      <w:pPr>
        <w:pStyle w:val="ListParagraph"/>
        <w:numPr>
          <w:ilvl w:val="0"/>
          <w:numId w:val="45"/>
        </w:numPr>
        <w:spacing w:lineRule="auto" w:line="360" w:before="0" w:after="0"/>
        <w:ind w:left="714" w:hanging="357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Wykonawca będzie wystawiał faktury po wykonaniu każdego zlecenia jednostkowego.</w:t>
      </w:r>
    </w:p>
    <w:p>
      <w:pPr>
        <w:pStyle w:val="ListParagraph"/>
        <w:numPr>
          <w:ilvl w:val="0"/>
          <w:numId w:val="46"/>
        </w:numPr>
        <w:spacing w:lineRule="auto" w:line="360" w:before="0" w:after="0"/>
        <w:ind w:left="714" w:hanging="357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Rozliczenie usługi nastąpi w oparciu o faktury wystawione przez Wykonawcę.</w:t>
      </w:r>
    </w:p>
    <w:p>
      <w:pPr>
        <w:pStyle w:val="ListParagraph"/>
        <w:numPr>
          <w:ilvl w:val="0"/>
          <w:numId w:val="46"/>
        </w:numPr>
        <w:spacing w:lineRule="auto" w:line="360" w:before="0" w:after="0"/>
        <w:ind w:left="714" w:hanging="357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Należność za wykonanie przedmiotu umowy Zamawiający ureguluje w ciągu 30 dni od dostarczenia faktury przez Wykonawcę.</w:t>
      </w:r>
    </w:p>
    <w:p>
      <w:pPr>
        <w:pStyle w:val="Standard"/>
        <w:spacing w:lineRule="auto" w:line="360" w:before="0"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§ 10. Odstąpienie od umowy</w:t>
      </w:r>
    </w:p>
    <w:p>
      <w:pPr>
        <w:pStyle w:val="ListParagraph"/>
        <w:numPr>
          <w:ilvl w:val="0"/>
          <w:numId w:val="47"/>
        </w:numPr>
        <w:spacing w:lineRule="auto" w:line="360" w:before="0"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Zamawiającemu przysługuje prawo odstąpienia od umowy:</w:t>
      </w:r>
    </w:p>
    <w:p>
      <w:pPr>
        <w:pStyle w:val="ListParagraph"/>
        <w:numPr>
          <w:ilvl w:val="0"/>
          <w:numId w:val="48"/>
        </w:numPr>
        <w:spacing w:lineRule="auto" w:line="360" w:before="0"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w razie wystąpienia istotnej zmiany okoliczności powodujących, że wykonanie umowy nie leży w interesie publicznym, czego nie można było przewidzieć w chwili zawarcia umowy, odstąpienie od umowy w tym przypadku może nastąpić w terminie 30 dni od powzięcia przez Zamawiającego wiadomości  o powyższych okolicznościach.</w:t>
      </w:r>
    </w:p>
    <w:p>
      <w:pPr>
        <w:pStyle w:val="ListParagraph"/>
        <w:numPr>
          <w:ilvl w:val="0"/>
          <w:numId w:val="49"/>
        </w:numPr>
        <w:spacing w:lineRule="auto" w:line="360" w:before="0"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gdy zostanie złożony wniosek o ogłoszenie upadłości lub rozwiązanie firmy Wykonawcy,</w:t>
      </w:r>
    </w:p>
    <w:p>
      <w:pPr>
        <w:pStyle w:val="ListParagraph"/>
        <w:numPr>
          <w:ilvl w:val="0"/>
          <w:numId w:val="49"/>
        </w:numPr>
        <w:spacing w:lineRule="auto" w:line="360" w:before="0"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w przypadku zajęcia majątku Wykonawcy w toku postępowania egzekucyjnego,</w:t>
      </w:r>
    </w:p>
    <w:p>
      <w:pPr>
        <w:pStyle w:val="ListParagraph"/>
        <w:numPr>
          <w:ilvl w:val="0"/>
          <w:numId w:val="49"/>
        </w:numPr>
        <w:spacing w:lineRule="auto" w:line="360" w:before="0"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w przypadku wykonania zlecenia w sposób sprzeczny z umową polegającego na:</w:t>
      </w:r>
    </w:p>
    <w:p>
      <w:pPr>
        <w:pStyle w:val="ListParagraph"/>
        <w:numPr>
          <w:ilvl w:val="1"/>
          <w:numId w:val="11"/>
        </w:numPr>
        <w:spacing w:lineRule="auto" w:line="360" w:before="0"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dwukrotnym niezrealizowaniu przez Wykonawcę zlecenia jednostkowego</w:t>
      </w:r>
    </w:p>
    <w:p>
      <w:pPr>
        <w:pStyle w:val="ListParagraph"/>
        <w:numPr>
          <w:ilvl w:val="1"/>
          <w:numId w:val="11"/>
        </w:numPr>
        <w:spacing w:lineRule="auto" w:line="360" w:before="0"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trzykrotnym, nienależnym zrealizowaniu zlecenia jednostkowego</w:t>
      </w:r>
    </w:p>
    <w:p>
      <w:pPr>
        <w:pStyle w:val="ListParagraph"/>
        <w:numPr>
          <w:ilvl w:val="1"/>
          <w:numId w:val="11"/>
        </w:numPr>
        <w:spacing w:lineRule="auto" w:line="360" w:before="0"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trzykrotnym nie usunięciu w wyznaczonym terminie nieprawidłowości w realizacji usługi</w:t>
      </w:r>
    </w:p>
    <w:p>
      <w:pPr>
        <w:pStyle w:val="ListParagraph"/>
        <w:spacing w:lineRule="auto" w:line="360" w:before="0" w:after="0"/>
        <w:ind w:left="0" w:hanging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ListParagraph"/>
        <w:numPr>
          <w:ilvl w:val="0"/>
          <w:numId w:val="50"/>
        </w:numPr>
        <w:spacing w:lineRule="auto" w:line="360" w:before="0"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Wykonawcy przysługuje prawo odstąpienia od umowy w przypadkach gdy Zamawiający nie wywiązuje się z obowiązku zapłaty należności mimo upływu dodatkowego miesięcznego terminu od upływu terminu zapłaty wynagrodzenia wynikającego z faktury.</w:t>
      </w:r>
    </w:p>
    <w:p>
      <w:pPr>
        <w:pStyle w:val="ListParagraph"/>
        <w:numPr>
          <w:ilvl w:val="0"/>
          <w:numId w:val="50"/>
        </w:numPr>
        <w:spacing w:lineRule="auto" w:line="36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Odstąpienie od umowy powinno nastąpić na piśmie pod rygorem nieważności i powinno zawierać uzasadnienie.</w:t>
      </w:r>
    </w:p>
    <w:p>
      <w:pPr>
        <w:pStyle w:val="Standard"/>
        <w:spacing w:lineRule="auto" w:line="36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§ 11</w:t>
      </w:r>
    </w:p>
    <w:p>
      <w:pPr>
        <w:pStyle w:val="ListParagraph"/>
        <w:numPr>
          <w:ilvl w:val="0"/>
          <w:numId w:val="51"/>
        </w:numPr>
        <w:spacing w:lineRule="auto" w:line="36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Strony ustalają, że w przypadku niewykonania lub nienależytego wykonania umowy stosowane będą następujące kary umowne:</w:t>
      </w:r>
    </w:p>
    <w:p>
      <w:pPr>
        <w:pStyle w:val="ListParagraph"/>
        <w:numPr>
          <w:ilvl w:val="0"/>
          <w:numId w:val="52"/>
        </w:numPr>
        <w:spacing w:lineRule="auto" w:line="36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Wykonawca zapłaci Zamawiającemu karę umowną:</w:t>
      </w:r>
    </w:p>
    <w:p>
      <w:pPr>
        <w:pStyle w:val="ListParagraph"/>
        <w:numPr>
          <w:ilvl w:val="0"/>
          <w:numId w:val="53"/>
        </w:numPr>
        <w:spacing w:lineRule="auto" w:line="36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za zwłokę w wykonaniu określonego w umowie przedmiotu zamówienia w wysokości 0,2 % wartości zlecenia jednostkowego za każdy dzień zwłoki, licząc od umownego terminu dostarczenia przedmiotu zamówienia,</w:t>
      </w:r>
    </w:p>
    <w:p>
      <w:pPr>
        <w:pStyle w:val="ListParagraph"/>
        <w:numPr>
          <w:ilvl w:val="0"/>
          <w:numId w:val="54"/>
        </w:numPr>
        <w:spacing w:lineRule="auto" w:line="36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za odstąpienie przez Wykonawcę od umowy z przyczyn leżących po stronie Wykonawcy – w wysokości 1.000,00 zł (słownie: jeden tysiąc, 00/100 zł),</w:t>
      </w:r>
    </w:p>
    <w:p>
      <w:pPr>
        <w:pStyle w:val="ListParagraph"/>
        <w:numPr>
          <w:ilvl w:val="0"/>
          <w:numId w:val="54"/>
        </w:numPr>
        <w:spacing w:lineRule="auto" w:line="36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za odstąpienie od umowy przez Zamawiającego z przyczyn leżących po stronie Wykonawcy – w wysokości 1.000,00 zł (słownie: jeden tysiąc, 00/100 zł).</w:t>
      </w:r>
    </w:p>
    <w:p>
      <w:pPr>
        <w:pStyle w:val="ListParagraph"/>
        <w:numPr>
          <w:ilvl w:val="0"/>
          <w:numId w:val="52"/>
        </w:numPr>
        <w:spacing w:lineRule="auto" w:line="36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Zamawiający zapłaci Wykonawcy karę umowną:</w:t>
      </w:r>
    </w:p>
    <w:p>
      <w:pPr>
        <w:pStyle w:val="ListParagraph"/>
        <w:numPr>
          <w:ilvl w:val="0"/>
          <w:numId w:val="55"/>
        </w:numPr>
        <w:spacing w:lineRule="auto" w:line="36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za odstąpienie przez Zamawiającego od umowy z przyczyn leżących po stronie Zamawiającego – w wysokości 500,00 zł,</w:t>
      </w:r>
    </w:p>
    <w:p>
      <w:pPr>
        <w:pStyle w:val="ListParagraph"/>
        <w:numPr>
          <w:ilvl w:val="0"/>
          <w:numId w:val="56"/>
        </w:numPr>
        <w:spacing w:lineRule="auto" w:line="36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za odstąpienie przez Wykonawcę od umowy z przyczyn leżących po stronie Zamawiającego – w wysokości 500,00 zł.</w:t>
      </w:r>
    </w:p>
    <w:p>
      <w:pPr>
        <w:pStyle w:val="ListParagraph"/>
        <w:numPr>
          <w:ilvl w:val="0"/>
          <w:numId w:val="52"/>
        </w:numPr>
        <w:spacing w:lineRule="auto" w:line="36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Zastrzeżenie kary umownej nie wyłącza prawa dochodzenia na zasadach ogólnych odszkodowania uzupełniającego przewyższającego wysokość kar umownych do wysokości faktycznie poniesionej szkody.</w:t>
      </w:r>
    </w:p>
    <w:p>
      <w:pPr>
        <w:pStyle w:val="ListParagraph"/>
        <w:numPr>
          <w:ilvl w:val="0"/>
          <w:numId w:val="52"/>
        </w:numPr>
        <w:spacing w:lineRule="auto" w:line="36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Kary umowne mogą być potrącane z rachunku Wykonawcy na co wykonawca wyraża zgodę bądź dochodzone na zasadach ogólnych.</w:t>
      </w:r>
    </w:p>
    <w:p>
      <w:pPr>
        <w:pStyle w:val="Standard"/>
        <w:spacing w:lineRule="auto" w:line="36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br/>
        <w:t>§ 12</w:t>
      </w:r>
    </w:p>
    <w:p>
      <w:pPr>
        <w:pStyle w:val="Standard"/>
        <w:spacing w:lineRule="auto" w:line="36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1. Nadzór nad realizacją umowy i osobą do bezpośredniego kontaktu ze stroną Zamawiającego jest Renata Krazińska – Kierownik Referatu Gospodarki Nieruchomościami i Geodezji.</w:t>
      </w:r>
    </w:p>
    <w:p>
      <w:pPr>
        <w:pStyle w:val="Standard"/>
        <w:spacing w:lineRule="auto" w:line="36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§ 13</w:t>
      </w:r>
    </w:p>
    <w:p>
      <w:pPr>
        <w:pStyle w:val="ListParagraph"/>
        <w:numPr>
          <w:ilvl w:val="0"/>
          <w:numId w:val="57"/>
        </w:numPr>
        <w:spacing w:lineRule="auto" w:line="36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Zamawiający oświadcza, że jest płatnikiem podatku VAT NIP 8851600974.</w:t>
      </w:r>
    </w:p>
    <w:p>
      <w:pPr>
        <w:pStyle w:val="ListParagraph"/>
        <w:numPr>
          <w:ilvl w:val="0"/>
          <w:numId w:val="58"/>
        </w:numPr>
        <w:spacing w:lineRule="auto" w:line="36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Wykonawca oświadcza, że jest/nie jest  płatnikiem VAT.</w:t>
      </w:r>
    </w:p>
    <w:p>
      <w:pPr>
        <w:pStyle w:val="Standard"/>
        <w:spacing w:lineRule="auto" w:line="36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§ 14</w:t>
      </w:r>
    </w:p>
    <w:p>
      <w:pPr>
        <w:pStyle w:val="Standard"/>
        <w:spacing w:lineRule="auto" w:line="36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W sprawach nieuregulowanych niniejszą umową mają zastosowanie przepisy Kodeksu Cywilnego.</w:t>
      </w:r>
    </w:p>
    <w:p>
      <w:pPr>
        <w:pStyle w:val="Standard"/>
        <w:spacing w:lineRule="auto" w:line="36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§ 15</w:t>
      </w:r>
    </w:p>
    <w:p>
      <w:pPr>
        <w:pStyle w:val="Standard"/>
        <w:spacing w:lineRule="auto" w:line="36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Zmiany do umowy wymagają formy pisemnej pod rygorem nieważności.</w:t>
      </w:r>
    </w:p>
    <w:p>
      <w:pPr>
        <w:pStyle w:val="Standard"/>
        <w:spacing w:lineRule="auto" w:line="36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§ 16</w:t>
      </w:r>
    </w:p>
    <w:p>
      <w:pPr>
        <w:pStyle w:val="Standard"/>
        <w:spacing w:lineRule="auto" w:line="36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Spory wynikłe na tle realizacji umowy rozstrzygać będzie sąd właściwy miejscowo dla siedziby Zamawiającego.</w:t>
      </w:r>
    </w:p>
    <w:p>
      <w:pPr>
        <w:pStyle w:val="Standard"/>
        <w:spacing w:lineRule="auto" w:line="36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§ 17</w:t>
      </w:r>
    </w:p>
    <w:p>
      <w:pPr>
        <w:pStyle w:val="Standard"/>
        <w:spacing w:lineRule="auto" w:line="36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Umowę sporządzono w 3 jednobrzmiących egzemplarzach, z czego 2 egzemplarze otrzymuje Zamawiający i 1 egzemplarz Wykonawca.</w:t>
      </w:r>
    </w:p>
    <w:p>
      <w:pPr>
        <w:pStyle w:val="Standard"/>
        <w:spacing w:lineRule="auto" w:line="24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Standard"/>
        <w:spacing w:lineRule="auto" w:line="24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ZAMAWIAJĄCY</w:t>
        <w:tab/>
        <w:tab/>
        <w:tab/>
        <w:tab/>
        <w:tab/>
        <w:tab/>
        <w:tab/>
        <w:tab/>
        <w:t>WYKONAWCA</w:t>
      </w:r>
    </w:p>
    <w:p>
      <w:pPr>
        <w:pStyle w:val="Standard"/>
        <w:spacing w:lineRule="auto" w:line="24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Standard"/>
        <w:spacing w:lineRule="auto" w:line="24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Standard"/>
        <w:spacing w:lineRule="auto" w:line="24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KONTRASYGNATA SKARBNIKA</w:t>
      </w:r>
    </w:p>
    <w:p>
      <w:pPr>
        <w:pStyle w:val="Standard"/>
        <w:spacing w:lineRule="auto" w:line="240"/>
        <w:jc w:val="both"/>
        <w:rPr>
          <w:rFonts w:cs="Times New Roman"/>
          <w:sz w:val="18"/>
          <w:szCs w:val="18"/>
        </w:rPr>
      </w:pPr>
      <w:r>
        <w:rPr>
          <w:rFonts w:cs="Times New Roman"/>
          <w:sz w:val="18"/>
          <w:szCs w:val="18"/>
        </w:rPr>
      </w:r>
    </w:p>
    <w:p>
      <w:pPr>
        <w:pStyle w:val="Standard"/>
        <w:spacing w:lineRule="auto" w:line="240"/>
        <w:jc w:val="both"/>
        <w:rPr>
          <w:rFonts w:cs="Times New Roman"/>
          <w:sz w:val="18"/>
          <w:szCs w:val="18"/>
        </w:rPr>
      </w:pPr>
      <w:r>
        <w:rPr>
          <w:rFonts w:cs="Times New Roman"/>
          <w:sz w:val="18"/>
          <w:szCs w:val="18"/>
        </w:rPr>
      </w:r>
    </w:p>
    <w:p>
      <w:pPr>
        <w:pStyle w:val="Standard"/>
        <w:spacing w:lineRule="auto" w:line="240"/>
        <w:jc w:val="both"/>
        <w:rPr>
          <w:rFonts w:cs="Times New Roman"/>
          <w:sz w:val="18"/>
          <w:szCs w:val="18"/>
        </w:rPr>
      </w:pPr>
      <w:r>
        <w:rPr>
          <w:rFonts w:cs="Times New Roman"/>
          <w:sz w:val="18"/>
          <w:szCs w:val="18"/>
        </w:rPr>
      </w:r>
    </w:p>
    <w:p>
      <w:pPr>
        <w:pStyle w:val="Standard"/>
        <w:spacing w:lineRule="auto" w:line="240"/>
        <w:jc w:val="both"/>
        <w:rPr>
          <w:rFonts w:cs="Times New Roman"/>
          <w:sz w:val="18"/>
          <w:szCs w:val="18"/>
        </w:rPr>
      </w:pPr>
      <w:r>
        <w:rPr>
          <w:rFonts w:cs="Times New Roman"/>
          <w:sz w:val="18"/>
          <w:szCs w:val="18"/>
        </w:rPr>
      </w:r>
    </w:p>
    <w:p>
      <w:pPr>
        <w:pStyle w:val="Standard"/>
        <w:spacing w:lineRule="auto" w:line="24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Standard"/>
        <w:spacing w:lineRule="auto" w:line="240"/>
        <w:jc w:val="both"/>
        <w:rPr/>
      </w:pPr>
      <w:r>
        <w:rPr>
          <w:rFonts w:cs="Times New Roman"/>
          <w:sz w:val="24"/>
          <w:szCs w:val="24"/>
        </w:rPr>
        <w:t xml:space="preserve">Załącznik nr 1 do umowy nr </w:t>
      </w:r>
      <w:r>
        <w:rPr>
          <w:rFonts w:cs="Times New Roman"/>
          <w:b/>
          <w:bCs/>
          <w:sz w:val="24"/>
          <w:szCs w:val="24"/>
        </w:rPr>
        <w:t>GMK.272…….2021.A</w:t>
      </w:r>
      <w:r>
        <w:rPr>
          <w:rFonts w:cs="Times New Roman"/>
          <w:sz w:val="24"/>
          <w:szCs w:val="24"/>
        </w:rPr>
        <w:t>, zawartej w dniu ……………………..2021 r.</w:t>
      </w:r>
    </w:p>
    <w:tbl>
      <w:tblPr>
        <w:tblW w:w="9353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84"/>
        <w:gridCol w:w="4851"/>
        <w:gridCol w:w="1179"/>
        <w:gridCol w:w="1330"/>
        <w:gridCol w:w="1609"/>
      </w:tblGrid>
      <w:tr>
        <w:trPr/>
        <w:tc>
          <w:tcPr>
            <w:tcW w:w="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Zawartotabeli"/>
              <w:widowControl w:val="false"/>
              <w:spacing w:before="0" w:after="2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lp.</w:t>
            </w:r>
          </w:p>
        </w:tc>
        <w:tc>
          <w:tcPr>
            <w:tcW w:w="4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Zawartotabeli"/>
              <w:widowControl w:val="false"/>
              <w:spacing w:before="0" w:after="2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Nazwa</w:t>
            </w:r>
          </w:p>
        </w:tc>
        <w:tc>
          <w:tcPr>
            <w:tcW w:w="11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Zawartotabeli"/>
              <w:widowControl w:val="false"/>
              <w:spacing w:before="0" w:after="2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Cena jednostkowa brutto (zł)</w:t>
            </w: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Zawartotabeli"/>
              <w:widowControl w:val="false"/>
              <w:spacing w:before="0" w:after="2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Cena jednostkowa netto (zł)</w:t>
            </w:r>
          </w:p>
        </w:tc>
        <w:tc>
          <w:tcPr>
            <w:tcW w:w="16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awartotabeli"/>
              <w:widowControl w:val="false"/>
              <w:spacing w:before="0" w:after="2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Czas realizacji ( dni )</w:t>
            </w:r>
          </w:p>
        </w:tc>
      </w:tr>
      <w:tr>
        <w:trPr/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Zawartotabeli"/>
              <w:widowControl w:val="false"/>
              <w:spacing w:before="0" w:after="20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851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spacing w:before="0" w:after="20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określenie wartości nieruchomości gruntowej niezabudowanej tj. pojedynczej działki</w:t>
            </w:r>
          </w:p>
        </w:tc>
        <w:tc>
          <w:tcPr>
            <w:tcW w:w="1179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Zawartotabeli"/>
              <w:widowControl w:val="false"/>
              <w:snapToGrid w:val="false"/>
              <w:spacing w:before="0" w:after="2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Zawartotabeli"/>
              <w:widowControl w:val="false"/>
              <w:snapToGrid w:val="false"/>
              <w:spacing w:before="0" w:after="2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awartotabeli"/>
              <w:widowControl w:val="false"/>
              <w:snapToGrid w:val="false"/>
              <w:spacing w:before="0" w:after="2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/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Zawartotabeli"/>
              <w:widowControl w:val="false"/>
              <w:spacing w:before="0" w:after="20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851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spacing w:before="0" w:after="20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określenie wartości następnej działki w nieruchomości gruntowej niezabudowanej</w:t>
            </w:r>
          </w:p>
        </w:tc>
        <w:tc>
          <w:tcPr>
            <w:tcW w:w="1179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Zawartotabeli"/>
              <w:widowControl w:val="false"/>
              <w:snapToGrid w:val="false"/>
              <w:spacing w:before="0" w:after="2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Zawartotabeli"/>
              <w:widowControl w:val="false"/>
              <w:snapToGrid w:val="false"/>
              <w:spacing w:before="0" w:after="2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awartotabeli"/>
              <w:widowControl w:val="false"/>
              <w:snapToGrid w:val="false"/>
              <w:spacing w:before="0" w:after="2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/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Zawartotabeli"/>
              <w:widowControl w:val="false"/>
              <w:spacing w:before="0" w:after="20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4851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spacing w:before="0" w:after="20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określenie wartości nieruchomości gruntowej zabudowanej</w:t>
            </w:r>
          </w:p>
        </w:tc>
        <w:tc>
          <w:tcPr>
            <w:tcW w:w="1179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Zawartotabeli"/>
              <w:widowControl w:val="false"/>
              <w:snapToGrid w:val="false"/>
              <w:spacing w:before="0" w:after="2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Zawartotabeli"/>
              <w:widowControl w:val="false"/>
              <w:snapToGrid w:val="false"/>
              <w:spacing w:before="0" w:after="2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awartotabeli"/>
              <w:widowControl w:val="false"/>
              <w:snapToGrid w:val="false"/>
              <w:spacing w:before="0" w:after="2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/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Zawartotabeli"/>
              <w:widowControl w:val="false"/>
              <w:spacing w:before="0" w:after="20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4851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spacing w:before="0" w:after="20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określenie wartości następnej działki w nieruchomości gruntowej zabudowanej</w:t>
            </w:r>
          </w:p>
        </w:tc>
        <w:tc>
          <w:tcPr>
            <w:tcW w:w="1179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Zawartotabeli"/>
              <w:widowControl w:val="false"/>
              <w:snapToGrid w:val="false"/>
              <w:spacing w:before="0" w:after="2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Zawartotabeli"/>
              <w:widowControl w:val="false"/>
              <w:snapToGrid w:val="false"/>
              <w:spacing w:before="0" w:after="2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awartotabeli"/>
              <w:widowControl w:val="false"/>
              <w:snapToGrid w:val="false"/>
              <w:spacing w:before="0" w:after="2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/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Zawartotabeli"/>
              <w:widowControl w:val="false"/>
              <w:spacing w:before="0" w:after="20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4851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spacing w:before="0" w:after="20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określenie wartości nakładów poniesionych przez posiadacza nieruchomości</w:t>
            </w:r>
          </w:p>
        </w:tc>
        <w:tc>
          <w:tcPr>
            <w:tcW w:w="1179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Zawartotabeli"/>
              <w:widowControl w:val="false"/>
              <w:snapToGrid w:val="false"/>
              <w:spacing w:before="0" w:after="2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Zawartotabeli"/>
              <w:widowControl w:val="false"/>
              <w:snapToGrid w:val="false"/>
              <w:spacing w:before="0" w:after="2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awartotabeli"/>
              <w:widowControl w:val="false"/>
              <w:snapToGrid w:val="false"/>
              <w:spacing w:before="0" w:after="2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/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Zawartotabeli"/>
              <w:widowControl w:val="false"/>
              <w:spacing w:before="0" w:after="20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4851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spacing w:before="0" w:after="20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określenie wartości służebności gruntowej</w:t>
            </w:r>
          </w:p>
        </w:tc>
        <w:tc>
          <w:tcPr>
            <w:tcW w:w="1179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Zawartotabeli"/>
              <w:widowControl w:val="false"/>
              <w:snapToGrid w:val="false"/>
              <w:spacing w:before="0" w:after="2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Zawartotabeli"/>
              <w:widowControl w:val="false"/>
              <w:snapToGrid w:val="false"/>
              <w:spacing w:before="0" w:after="2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awartotabeli"/>
              <w:widowControl w:val="false"/>
              <w:snapToGrid w:val="false"/>
              <w:spacing w:before="0" w:after="2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/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Zawartotabeli"/>
              <w:widowControl w:val="false"/>
              <w:spacing w:before="0" w:after="20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4851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spacing w:before="0" w:after="20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określenie wartości nieruchomości w celu ustalenia odszkodowania</w:t>
            </w:r>
          </w:p>
        </w:tc>
        <w:tc>
          <w:tcPr>
            <w:tcW w:w="1179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Zawartotabeli"/>
              <w:widowControl w:val="false"/>
              <w:snapToGrid w:val="false"/>
              <w:spacing w:before="0" w:after="2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Zawartotabeli"/>
              <w:widowControl w:val="false"/>
              <w:snapToGrid w:val="false"/>
              <w:spacing w:before="0" w:after="2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awartotabeli"/>
              <w:widowControl w:val="false"/>
              <w:snapToGrid w:val="false"/>
              <w:spacing w:before="0" w:after="2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/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Zawartotabeli"/>
              <w:widowControl w:val="false"/>
              <w:spacing w:before="0" w:after="20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4851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spacing w:before="0" w:after="20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określenie wartości drzewostanu:</w:t>
            </w:r>
          </w:p>
        </w:tc>
        <w:tc>
          <w:tcPr>
            <w:tcW w:w="1179" w:type="dxa"/>
            <w:tcBorders>
              <w:left w:val="single" w:sz="2" w:space="0" w:color="000000"/>
              <w:bottom w:val="single" w:sz="2" w:space="0" w:color="000000"/>
            </w:tcBorders>
            <w:shd w:color="auto" w:fill="000000" w:val="clear"/>
          </w:tcPr>
          <w:p>
            <w:pPr>
              <w:pStyle w:val="Zawartotabeli"/>
              <w:widowControl w:val="false"/>
              <w:snapToGrid w:val="false"/>
              <w:spacing w:before="0" w:after="200"/>
              <w:jc w:val="center"/>
              <w:rPr>
                <w:sz w:val="18"/>
                <w:szCs w:val="18"/>
                <w:shd w:fill="111111" w:val="clear"/>
              </w:rPr>
            </w:pPr>
            <w:r>
              <w:rPr>
                <w:sz w:val="18"/>
                <w:szCs w:val="18"/>
                <w:shd w:fill="111111" w:val="clear"/>
              </w:rPr>
            </w: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color="auto" w:fill="000000" w:val="clear"/>
          </w:tcPr>
          <w:p>
            <w:pPr>
              <w:pStyle w:val="Zawartotabeli"/>
              <w:widowControl w:val="false"/>
              <w:snapToGrid w:val="false"/>
              <w:spacing w:before="0" w:after="200"/>
              <w:jc w:val="center"/>
              <w:rPr>
                <w:sz w:val="18"/>
                <w:szCs w:val="18"/>
                <w:shd w:fill="111111" w:val="clear"/>
              </w:rPr>
            </w:pPr>
            <w:r>
              <w:rPr>
                <w:sz w:val="18"/>
                <w:szCs w:val="18"/>
                <w:shd w:fill="111111" w:val="clear"/>
              </w:rPr>
            </w: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000000" w:val="clear"/>
          </w:tcPr>
          <w:p>
            <w:pPr>
              <w:pStyle w:val="Zawartotabeli"/>
              <w:widowControl w:val="false"/>
              <w:snapToGrid w:val="false"/>
              <w:spacing w:before="0" w:after="200"/>
              <w:jc w:val="center"/>
              <w:rPr>
                <w:sz w:val="18"/>
                <w:szCs w:val="18"/>
                <w:shd w:fill="111111" w:val="clear"/>
              </w:rPr>
            </w:pPr>
            <w:r>
              <w:rPr>
                <w:sz w:val="18"/>
                <w:szCs w:val="18"/>
                <w:shd w:fill="111111" w:val="clear"/>
              </w:rPr>
            </w:r>
          </w:p>
        </w:tc>
      </w:tr>
      <w:tr>
        <w:trPr/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Zawartotabeli"/>
              <w:widowControl w:val="false"/>
              <w:spacing w:before="0" w:after="20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</w:t>
            </w:r>
          </w:p>
        </w:tc>
        <w:tc>
          <w:tcPr>
            <w:tcW w:w="4851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spacing w:before="0" w:after="20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 20 sztuk</w:t>
            </w:r>
          </w:p>
        </w:tc>
        <w:tc>
          <w:tcPr>
            <w:tcW w:w="1179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Zawartotabeli"/>
              <w:widowControl w:val="false"/>
              <w:snapToGrid w:val="false"/>
              <w:spacing w:before="0" w:after="2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Zawartotabeli"/>
              <w:widowControl w:val="false"/>
              <w:snapToGrid w:val="false"/>
              <w:spacing w:before="0" w:after="2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awartotabeli"/>
              <w:widowControl w:val="false"/>
              <w:snapToGrid w:val="false"/>
              <w:spacing w:before="0" w:after="2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/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Zawartotabeli"/>
              <w:widowControl w:val="false"/>
              <w:spacing w:before="0" w:after="20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</w:t>
            </w:r>
          </w:p>
        </w:tc>
        <w:tc>
          <w:tcPr>
            <w:tcW w:w="4851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spacing w:before="0" w:after="20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21-100 sztuk</w:t>
            </w:r>
          </w:p>
        </w:tc>
        <w:tc>
          <w:tcPr>
            <w:tcW w:w="1179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Zawartotabeli"/>
              <w:widowControl w:val="false"/>
              <w:snapToGrid w:val="false"/>
              <w:spacing w:before="0" w:after="2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Zawartotabeli"/>
              <w:widowControl w:val="false"/>
              <w:snapToGrid w:val="false"/>
              <w:spacing w:before="0" w:after="2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awartotabeli"/>
              <w:widowControl w:val="false"/>
              <w:snapToGrid w:val="false"/>
              <w:spacing w:before="0" w:after="2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/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Zawartotabeli"/>
              <w:widowControl w:val="false"/>
              <w:spacing w:before="0" w:after="20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</w:t>
            </w:r>
          </w:p>
        </w:tc>
        <w:tc>
          <w:tcPr>
            <w:tcW w:w="4851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spacing w:before="0" w:after="20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powyżej 100 sztuk</w:t>
            </w:r>
          </w:p>
        </w:tc>
        <w:tc>
          <w:tcPr>
            <w:tcW w:w="1179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Zawartotabeli"/>
              <w:widowControl w:val="false"/>
              <w:snapToGrid w:val="false"/>
              <w:spacing w:before="0" w:after="2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Zawartotabeli"/>
              <w:widowControl w:val="false"/>
              <w:snapToGrid w:val="false"/>
              <w:spacing w:before="0" w:after="2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awartotabeli"/>
              <w:widowControl w:val="false"/>
              <w:snapToGrid w:val="false"/>
              <w:spacing w:before="0" w:after="2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/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Zawartotabeli"/>
              <w:widowControl w:val="false"/>
              <w:spacing w:before="0" w:after="20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4851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spacing w:before="0" w:after="20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określenie wartości nieruchomości w celu ustalenia:</w:t>
            </w:r>
          </w:p>
        </w:tc>
        <w:tc>
          <w:tcPr>
            <w:tcW w:w="1179" w:type="dxa"/>
            <w:tcBorders>
              <w:left w:val="single" w:sz="2" w:space="0" w:color="000000"/>
              <w:bottom w:val="single" w:sz="2" w:space="0" w:color="000000"/>
            </w:tcBorders>
            <w:shd w:color="auto" w:fill="000000" w:val="clear"/>
          </w:tcPr>
          <w:p>
            <w:pPr>
              <w:pStyle w:val="Zawartotabeli"/>
              <w:widowControl w:val="false"/>
              <w:snapToGrid w:val="false"/>
              <w:spacing w:before="0" w:after="2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color="auto" w:fill="000000" w:val="clear"/>
          </w:tcPr>
          <w:p>
            <w:pPr>
              <w:pStyle w:val="Zawartotabeli"/>
              <w:widowControl w:val="false"/>
              <w:snapToGrid w:val="false"/>
              <w:spacing w:before="0" w:after="2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000000" w:val="clear"/>
          </w:tcPr>
          <w:p>
            <w:pPr>
              <w:pStyle w:val="Zawartotabeli"/>
              <w:widowControl w:val="false"/>
              <w:snapToGrid w:val="false"/>
              <w:spacing w:before="0" w:after="2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/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Zawartotabeli"/>
              <w:widowControl w:val="false"/>
              <w:spacing w:before="0" w:after="20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</w:t>
            </w:r>
          </w:p>
        </w:tc>
        <w:tc>
          <w:tcPr>
            <w:tcW w:w="4851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spacing w:before="0" w:after="20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odszkodowania lub jednorazowej opłaty w związku z uchwaleniem planu miejscowego albo jego zmianą, na podstawie art. 36 ust. 3 i 4 ustawy z dnia 27 marca 2003 roku o planowaniu i zagospodarowaniu przestrzennym(Dz.U. 2015.poz. 199 ze zm.)</w:t>
            </w:r>
          </w:p>
        </w:tc>
        <w:tc>
          <w:tcPr>
            <w:tcW w:w="1179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Zawartotabeli"/>
              <w:widowControl w:val="false"/>
              <w:snapToGrid w:val="false"/>
              <w:spacing w:before="0" w:after="2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Zawartotabeli"/>
              <w:widowControl w:val="false"/>
              <w:snapToGrid w:val="false"/>
              <w:spacing w:before="0" w:after="2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awartotabeli"/>
              <w:widowControl w:val="false"/>
              <w:snapToGrid w:val="false"/>
              <w:spacing w:before="0" w:after="2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/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Zawartotabeli"/>
              <w:widowControl w:val="false"/>
              <w:spacing w:before="0" w:after="20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</w:t>
            </w:r>
          </w:p>
        </w:tc>
        <w:tc>
          <w:tcPr>
            <w:tcW w:w="4851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spacing w:before="0" w:after="20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opłaty adiacenckiej z tytułu wzrostu wartości nieruchomości na skutek wybudowania drogi</w:t>
            </w:r>
          </w:p>
        </w:tc>
        <w:tc>
          <w:tcPr>
            <w:tcW w:w="1179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Zawartotabeli"/>
              <w:widowControl w:val="false"/>
              <w:snapToGrid w:val="false"/>
              <w:spacing w:before="0" w:after="2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Zawartotabeli"/>
              <w:widowControl w:val="false"/>
              <w:snapToGrid w:val="false"/>
              <w:spacing w:before="0" w:after="2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awartotabeli"/>
              <w:widowControl w:val="false"/>
              <w:snapToGrid w:val="false"/>
              <w:spacing w:before="0" w:after="2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/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Zawartotabeli"/>
              <w:widowControl w:val="false"/>
              <w:spacing w:before="0" w:after="20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</w:t>
            </w:r>
          </w:p>
        </w:tc>
        <w:tc>
          <w:tcPr>
            <w:tcW w:w="4851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spacing w:before="0" w:after="20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opłaty adiacenckiej z tytułu wzrostu wartości nieruchomości na skutek wybudowania urządzeń infrastruktury technicznej</w:t>
            </w:r>
          </w:p>
        </w:tc>
        <w:tc>
          <w:tcPr>
            <w:tcW w:w="1179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Zawartotabeli"/>
              <w:widowControl w:val="false"/>
              <w:snapToGrid w:val="false"/>
              <w:spacing w:before="0" w:after="2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Zawartotabeli"/>
              <w:widowControl w:val="false"/>
              <w:snapToGrid w:val="false"/>
              <w:spacing w:before="0" w:after="2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awartotabeli"/>
              <w:widowControl w:val="false"/>
              <w:snapToGrid w:val="false"/>
              <w:spacing w:before="0" w:after="2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/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Zawartotabeli"/>
              <w:widowControl w:val="false"/>
              <w:spacing w:before="0" w:after="20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</w:t>
            </w:r>
          </w:p>
        </w:tc>
        <w:tc>
          <w:tcPr>
            <w:tcW w:w="4851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spacing w:before="0" w:after="20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opłaty adiacenckiej z tytułu wzrostu wartości nieruchomości na skutek podziału</w:t>
            </w:r>
          </w:p>
        </w:tc>
        <w:tc>
          <w:tcPr>
            <w:tcW w:w="1179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Zawartotabeli"/>
              <w:widowControl w:val="false"/>
              <w:snapToGrid w:val="false"/>
              <w:spacing w:before="0" w:after="2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Zawartotabeli"/>
              <w:widowControl w:val="false"/>
              <w:snapToGrid w:val="false"/>
              <w:spacing w:before="0" w:after="2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awartotabeli"/>
              <w:widowControl w:val="false"/>
              <w:snapToGrid w:val="false"/>
              <w:spacing w:before="0" w:after="2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/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Zawartotabeli"/>
              <w:widowControl w:val="false"/>
              <w:spacing w:before="0" w:after="20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4851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spacing w:before="0" w:after="20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określenie wartości prawa użytkowania wieczystego i prawa własności nieruchomości gruntowej do przekształcenia prawa użytkowania wieczystego w prawo własności</w:t>
            </w:r>
          </w:p>
        </w:tc>
        <w:tc>
          <w:tcPr>
            <w:tcW w:w="1179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Zawartotabeli"/>
              <w:widowControl w:val="false"/>
              <w:snapToGrid w:val="false"/>
              <w:spacing w:before="0" w:after="2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Zawartotabeli"/>
              <w:widowControl w:val="false"/>
              <w:snapToGrid w:val="false"/>
              <w:spacing w:before="0" w:after="2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awartotabeli"/>
              <w:widowControl w:val="false"/>
              <w:snapToGrid w:val="false"/>
              <w:spacing w:before="0" w:after="2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/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Zawartotabeli"/>
              <w:widowControl w:val="false"/>
              <w:spacing w:before="0" w:after="20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4851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spacing w:before="0" w:after="20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określenie wartości prawa własności i prawa użytkowania wieczystego nieruchomości gruntowej dla potrzeb rozwiązania umowy użytkowania wieczystego</w:t>
            </w:r>
          </w:p>
        </w:tc>
        <w:tc>
          <w:tcPr>
            <w:tcW w:w="1179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Zawartotabeli"/>
              <w:widowControl w:val="false"/>
              <w:snapToGrid w:val="false"/>
              <w:spacing w:before="0" w:after="2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Zawartotabeli"/>
              <w:widowControl w:val="false"/>
              <w:snapToGrid w:val="false"/>
              <w:spacing w:before="0" w:after="2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awartotabeli"/>
              <w:widowControl w:val="false"/>
              <w:snapToGrid w:val="false"/>
              <w:spacing w:before="0" w:after="2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/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Zawartotabeli"/>
              <w:widowControl w:val="false"/>
              <w:spacing w:before="0" w:after="20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4851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spacing w:before="0" w:after="20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określenie wartości nieruchomości w celu wniesienia aportu</w:t>
            </w:r>
          </w:p>
        </w:tc>
        <w:tc>
          <w:tcPr>
            <w:tcW w:w="1179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Zawartotabeli"/>
              <w:widowControl w:val="false"/>
              <w:snapToGrid w:val="false"/>
              <w:spacing w:before="0" w:after="2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Zawartotabeli"/>
              <w:widowControl w:val="false"/>
              <w:snapToGrid w:val="false"/>
              <w:spacing w:before="0" w:after="2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awartotabeli"/>
              <w:widowControl w:val="false"/>
              <w:snapToGrid w:val="false"/>
              <w:spacing w:before="0" w:after="2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/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Zawartotabeli"/>
              <w:widowControl w:val="false"/>
              <w:spacing w:before="0" w:after="20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4851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spacing w:before="0" w:after="20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Określenie kwoty bezumownego korzystania  z nieruchomości</w:t>
            </w:r>
          </w:p>
        </w:tc>
        <w:tc>
          <w:tcPr>
            <w:tcW w:w="1179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Zawartotabeli"/>
              <w:widowControl w:val="false"/>
              <w:snapToGrid w:val="false"/>
              <w:spacing w:before="0" w:after="2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Zawartotabeli"/>
              <w:widowControl w:val="false"/>
              <w:snapToGrid w:val="false"/>
              <w:spacing w:before="0" w:after="2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awartotabeli"/>
              <w:widowControl w:val="false"/>
              <w:snapToGrid w:val="false"/>
              <w:spacing w:before="0" w:after="2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/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Zawartotabeli"/>
              <w:widowControl w:val="false"/>
              <w:spacing w:before="0" w:after="20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4851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spacing w:before="0" w:after="20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określenie wartości aktualizacji przedmiotu zlecenia</w:t>
            </w:r>
          </w:p>
        </w:tc>
        <w:tc>
          <w:tcPr>
            <w:tcW w:w="1179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Zawartotabeli"/>
              <w:widowControl w:val="false"/>
              <w:snapToGrid w:val="false"/>
              <w:spacing w:before="0" w:after="2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Zawartotabeli"/>
              <w:widowControl w:val="false"/>
              <w:snapToGrid w:val="false"/>
              <w:spacing w:before="0" w:after="2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awartotabeli"/>
              <w:widowControl w:val="false"/>
              <w:snapToGrid w:val="false"/>
              <w:spacing w:before="0" w:after="2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/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Zawartotabeli"/>
              <w:widowControl w:val="false"/>
              <w:spacing w:before="0" w:after="20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4851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spacing w:before="0" w:after="20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aktualizacja opłaty rocznej prawa użytkowania wieczystego</w:t>
            </w:r>
          </w:p>
        </w:tc>
        <w:tc>
          <w:tcPr>
            <w:tcW w:w="1179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Zawartotabeli"/>
              <w:widowControl w:val="false"/>
              <w:snapToGrid w:val="false"/>
              <w:spacing w:before="0" w:after="2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Zawartotabeli"/>
              <w:widowControl w:val="false"/>
              <w:snapToGrid w:val="false"/>
              <w:spacing w:before="0" w:after="2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awartotabeli"/>
              <w:widowControl w:val="false"/>
              <w:snapToGrid w:val="false"/>
              <w:spacing w:before="0" w:after="2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</w:tbl>
    <w:p>
      <w:pPr>
        <w:pStyle w:val="Standard"/>
        <w:spacing w:lineRule="auto" w:line="24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Standard"/>
        <w:spacing w:lineRule="auto" w:line="24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Standard"/>
        <w:spacing w:lineRule="auto" w:line="24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ZAMAWIAJĄCY</w:t>
        <w:tab/>
        <w:tab/>
        <w:tab/>
        <w:tab/>
        <w:tab/>
        <w:tab/>
        <w:t>WYKONAWCA</w:t>
      </w:r>
    </w:p>
    <w:p>
      <w:pPr>
        <w:pStyle w:val="Standard"/>
        <w:spacing w:lineRule="auto" w:line="24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Standard"/>
        <w:spacing w:lineRule="auto" w:line="24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Standard"/>
        <w:spacing w:lineRule="auto" w:line="24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KONTRASYGNATA SKARBNIKA</w:t>
      </w:r>
    </w:p>
    <w:p>
      <w:pPr>
        <w:pStyle w:val="Standard"/>
        <w:spacing w:lineRule="auto" w:line="240" w:before="0" w:after="0"/>
        <w:rPr/>
      </w:pPr>
      <w:r>
        <w:rPr/>
      </w:r>
    </w:p>
    <w:p>
      <w:pPr>
        <w:pStyle w:val="Normal"/>
        <w:widowControl w:val="false"/>
        <w:suppressAutoHyphens w:val="true"/>
        <w:bidi w:val="0"/>
        <w:spacing w:lineRule="auto" w:line="276" w:before="0" w:after="200"/>
        <w:jc w:val="left"/>
        <w:textAlignment w:val="baseline"/>
        <w:rPr/>
      </w:pPr>
      <w:r>
        <w:rPr/>
      </w:r>
    </w:p>
    <w:sectPr>
      <w:type w:val="nextPage"/>
      <w:pgSz w:w="11906" w:h="16838"/>
      <w:pgMar w:left="1417" w:right="1417" w:header="0" w:top="1417" w:footer="0" w:bottom="826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Arial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480" w:hanging="18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480" w:hanging="180"/>
      </w:p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480" w:hanging="180"/>
      </w:p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480" w:hanging="180"/>
      </w:pPr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480" w:hanging="180"/>
      </w:pPr>
    </w:lvl>
  </w:abstractNum>
  <w:abstractNum w:abstractNumId="6"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840" w:hanging="180"/>
      </w:pPr>
    </w:lvl>
  </w:abstractNum>
  <w:abstractNum w:abstractNumId="7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480" w:hanging="180"/>
      </w:pPr>
    </w:lvl>
  </w:abstractNum>
  <w:abstractNum w:abstractNumId="8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480" w:hanging="180"/>
      </w:pPr>
    </w:lvl>
  </w:abstractNum>
  <w:abstractNum w:abstractNumId="9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480" w:hanging="180"/>
      </w:pPr>
    </w:lvl>
  </w:abstractNum>
  <w:abstractNum w:abstractNumId="10"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840" w:hanging="180"/>
      </w:pPr>
    </w:lvl>
  </w:abstractNum>
  <w:abstractNum w:abstractNumId="11"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840" w:hanging="180"/>
      </w:pPr>
    </w:lvl>
  </w:abstractNum>
  <w:abstractNum w:abstractNumId="1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480" w:hanging="180"/>
      </w:pPr>
    </w:lvl>
  </w:abstractNum>
  <w:abstractNum w:abstractNumId="13"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840" w:hanging="180"/>
      </w:pPr>
    </w:lvl>
  </w:abstractNum>
  <w:abstractNum w:abstractNumId="14"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840" w:hanging="180"/>
      </w:pPr>
    </w:lvl>
  </w:abstractNum>
  <w:abstractNum w:abstractNumId="15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480" w:hanging="180"/>
      </w:pPr>
    </w:lvl>
  </w:abstractNum>
  <w:abstractNum w:abstractNumId="16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480" w:hanging="180"/>
      </w:pPr>
    </w:lvl>
  </w:abstractNum>
  <w:abstractNum w:abstractNumId="17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480" w:hanging="180"/>
      </w:pPr>
    </w:lvl>
  </w:abstractNum>
  <w:abstractNum w:abstractNumId="18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480" w:hanging="180"/>
      </w:pPr>
    </w:lvl>
  </w:abstractNum>
  <w:abstractNum w:abstractNumId="19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480" w:hanging="180"/>
      </w:pPr>
    </w:lvl>
  </w:abstractNum>
  <w:abstractNum w:abstractNumId="20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480" w:hanging="180"/>
      </w:pPr>
    </w:lvl>
  </w:abstractNum>
  <w:abstractNum w:abstractNumId="21"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840" w:hanging="180"/>
      </w:pPr>
    </w:lvl>
  </w:abstractNum>
  <w:abstractNum w:abstractNumId="2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480" w:hanging="180"/>
      </w:pPr>
    </w:lvl>
  </w:abstractNum>
  <w:abstractNum w:abstractNumId="23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480" w:hanging="180"/>
      </w:pPr>
    </w:lvl>
  </w:abstractNum>
  <w:abstractNum w:abstractNumId="24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480" w:hanging="180"/>
      </w:pPr>
    </w:lvl>
  </w:abstractNum>
  <w:abstractNum w:abstractNumId="25"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840" w:hanging="180"/>
      </w:pPr>
    </w:lvl>
  </w:abstractNum>
  <w:abstractNum w:abstractNumId="26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480" w:hanging="180"/>
      </w:pPr>
    </w:lvl>
  </w:abstractNum>
  <w:abstractNum w:abstractNumId="27"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840" w:hanging="180"/>
      </w:pPr>
    </w:lvl>
  </w:abstractNum>
  <w:abstractNum w:abstractNumId="28"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840" w:hanging="180"/>
      </w:pPr>
    </w:lvl>
  </w:abstractNum>
  <w:abstractNum w:abstractNumId="29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480" w:hanging="180"/>
      </w:pPr>
    </w:lvl>
  </w:abstractNum>
  <w:abstractNum w:abstractNumId="30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16"/>
    <w:lvlOverride w:ilvl="0">
      <w:startOverride w:val="1"/>
    </w:lvlOverride>
  </w:num>
  <w:num w:numId="32">
    <w:abstractNumId w:val="16"/>
  </w:num>
  <w:num w:numId="33">
    <w:abstractNumId w:val="17"/>
    <w:lvlOverride w:ilvl="0">
      <w:startOverride w:val="1"/>
    </w:lvlOverride>
  </w:num>
  <w:num w:numId="34">
    <w:abstractNumId w:val="17"/>
  </w:num>
  <w:num w:numId="35">
    <w:abstractNumId w:val="18"/>
    <w:lvlOverride w:ilvl="0">
      <w:startOverride w:val="1"/>
    </w:lvlOverride>
  </w:num>
  <w:num w:numId="36">
    <w:abstractNumId w:val="18"/>
  </w:num>
  <w:num w:numId="37">
    <w:abstractNumId w:val="19"/>
    <w:lvlOverride w:ilvl="0">
      <w:startOverride w:val="1"/>
    </w:lvlOverride>
  </w:num>
  <w:num w:numId="38">
    <w:abstractNumId w:val="19"/>
  </w:num>
  <w:num w:numId="39">
    <w:abstractNumId w:val="20"/>
    <w:lvlOverride w:ilvl="0">
      <w:startOverride w:val="1"/>
    </w:lvlOverride>
  </w:num>
  <w:num w:numId="40">
    <w:abstractNumId w:val="20"/>
  </w:num>
  <w:num w:numId="41">
    <w:abstractNumId w:val="21"/>
    <w:lvlOverride w:ilvl="0">
      <w:startOverride w:val="1"/>
    </w:lvlOverride>
  </w:num>
  <w:num w:numId="42">
    <w:abstractNumId w:val="21"/>
  </w:num>
  <w:num w:numId="43">
    <w:abstractNumId w:val="22"/>
    <w:lvlOverride w:ilvl="0">
      <w:startOverride w:val="1"/>
    </w:lvlOverride>
  </w:num>
  <w:num w:numId="44">
    <w:abstractNumId w:val="22"/>
  </w:num>
  <w:num w:numId="45">
    <w:abstractNumId w:val="23"/>
    <w:lvlOverride w:ilvl="0">
      <w:startOverride w:val="1"/>
    </w:lvlOverride>
  </w:num>
  <w:num w:numId="46">
    <w:abstractNumId w:val="23"/>
  </w:num>
  <w:num w:numId="47">
    <w:abstractNumId w:val="24"/>
    <w:lvlOverride w:ilvl="0">
      <w:startOverride w:val="1"/>
    </w:lvlOverride>
  </w:num>
  <w:num w:numId="48">
    <w:abstractNumId w:val="25"/>
    <w:lvlOverride w:ilvl="0">
      <w:startOverride w:val="1"/>
    </w:lvlOverride>
  </w:num>
  <w:num w:numId="49">
    <w:abstractNumId w:val="25"/>
  </w:num>
  <w:num w:numId="50">
    <w:abstractNumId w:val="24"/>
  </w:num>
  <w:num w:numId="51">
    <w:abstractNumId w:val="26"/>
    <w:lvlOverride w:ilvl="0">
      <w:startOverride w:val="1"/>
    </w:lvlOverride>
  </w:num>
  <w:num w:numId="52">
    <w:abstractNumId w:val="26"/>
  </w:num>
  <w:num w:numId="53">
    <w:abstractNumId w:val="27"/>
    <w:lvlOverride w:ilvl="0">
      <w:startOverride w:val="1"/>
    </w:lvlOverride>
  </w:num>
  <w:num w:numId="54">
    <w:abstractNumId w:val="27"/>
  </w:num>
  <w:num w:numId="55">
    <w:abstractNumId w:val="28"/>
    <w:lvlOverride w:ilvl="0">
      <w:startOverride w:val="1"/>
    </w:lvlOverride>
  </w:num>
  <w:num w:numId="56">
    <w:abstractNumId w:val="28"/>
  </w:num>
  <w:num w:numId="57">
    <w:abstractNumId w:val="29"/>
    <w:lvlOverride w:ilvl="0">
      <w:startOverride w:val="1"/>
    </w:lvlOverride>
  </w:num>
  <w:num w:numId="58">
    <w:abstractNumId w:val="29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ca64cb"/>
    <w:pPr>
      <w:widowControl w:val="false"/>
      <w:suppressAutoHyphens w:val="true"/>
      <w:bidi w:val="0"/>
      <w:spacing w:lineRule="auto" w:line="276" w:before="0" w:after="200"/>
      <w:jc w:val="left"/>
      <w:textAlignment w:val="baseline"/>
    </w:pPr>
    <w:rPr>
      <w:rFonts w:ascii="Calibri" w:hAnsi="Calibri" w:eastAsia="SimSun" w:cs="Tahoma" w:asciiTheme="minorHAnsi" w:hAnsiTheme="minorHAnsi"/>
      <w:color w:val="auto"/>
      <w:kern w:val="2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ca64cb"/>
    <w:pPr>
      <w:widowControl/>
      <w:suppressAutoHyphens w:val="true"/>
      <w:bidi w:val="0"/>
      <w:spacing w:lineRule="auto" w:line="276" w:before="0" w:after="200"/>
      <w:jc w:val="left"/>
      <w:textAlignment w:val="baseline"/>
    </w:pPr>
    <w:rPr>
      <w:rFonts w:ascii="Calibri" w:hAnsi="Calibri" w:eastAsia="SimSun" w:cs="Tahoma" w:asciiTheme="minorHAnsi" w:hAnsiTheme="minorHAnsi"/>
      <w:color w:val="auto"/>
      <w:kern w:val="2"/>
      <w:sz w:val="22"/>
      <w:szCs w:val="22"/>
      <w:lang w:val="pl-PL" w:eastAsia="en-US" w:bidi="ar-SA"/>
    </w:rPr>
  </w:style>
  <w:style w:type="paragraph" w:styleId="ListParagraph">
    <w:name w:val="List Paragraph"/>
    <w:basedOn w:val="Standard"/>
    <w:qFormat/>
    <w:rsid w:val="00ca64cb"/>
    <w:pPr>
      <w:ind w:left="720" w:hanging="0"/>
    </w:pPr>
    <w:rPr/>
  </w:style>
  <w:style w:type="paragraph" w:styleId="Zawartotabeli" w:customStyle="1">
    <w:name w:val="Zawartość tabeli"/>
    <w:basedOn w:val="Standard"/>
    <w:qFormat/>
    <w:rsid w:val="00ca64cb"/>
    <w:pPr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LibreOffice/7.0.1.2$Windows_X86_64 LibreOffice_project/7cbcfc562f6eb6708b5ff7d7397325de9e764452</Application>
  <Pages>7</Pages>
  <Words>1347</Words>
  <Characters>8690</Characters>
  <CharactersWithSpaces>9897</CharactersWithSpaces>
  <Paragraphs>133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2021-02-08T13:37:00Z</dcterms:created>
  <dc:creator>Renata</dc:creator>
  <dc:description/>
  <dc:language>pl-PL</dc:language>
  <cp:lastModifiedBy>Renata</cp:lastModifiedBy>
  <cp:lastPrinted>2021-02-12T13:06:19Z</cp:lastPrinted>
  <dcterms:modified xsi:type="dcterms:W3CDTF">2021-02-08T13:37:00Z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