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ind w:left="5954" w:hanging="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Nowa Ruda, 27 grudnia 2021 r.</w:t>
      </w:r>
    </w:p>
    <w:p>
      <w:pPr>
        <w:pStyle w:val="Normal"/>
        <w:spacing w:lineRule="auto" w:line="360" w:before="0" w:after="24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RPZP.6220.9.2021</w:t>
      </w:r>
    </w:p>
    <w:p>
      <w:pPr>
        <w:pStyle w:val="Nagwek1"/>
        <w:rPr/>
      </w:pPr>
      <w:r>
        <w:rPr/>
        <w:t>POSTANOWIENIE</w:t>
      </w:r>
    </w:p>
    <w:p>
      <w:pPr>
        <w:pStyle w:val="Normal"/>
        <w:spacing w:lineRule="auto" w:line="360" w:before="240" w:after="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Na podstawie art. 63 ust. 1 i 4, art. 65 ust. 3, art. 66 ustawy z dnia 3 października 2008 r. o udostępnianiu informacji o środowisku i jego ochronie, udziale społeczeństwa w ochronie środowiska oraz o ocenach oddziaływania na środowisko (Dz. U. z 2021 r., poz. 247 ze zm.), w związku z treścią § 3 ust. 1 pkt 54 lit. b Rozporządzenia Rady Ministrów z dnia 10 września 2019 r. w sprawie przedsięwzięć mogących znacząco oddziaływać na środowisko (tj. Dz. U. z 2019 r., poz. 1839) w związku z treścią art. 123 ustawy z dnia 14 czerwca 1960 r. Kodeks postępowania administracyjnego (tj. Dz. U. 2021 poz. 735 ze zm.), po rozpoznaniu wniosku wnioskodawcy firmy SOLARIUS Sp. z o. o., reprezentowanej przez Pana Jakuba Blocha oraz po zasięgnięciu opinii Regionalnego Dyrektora Ochrony Środowiska we Wrocławiu, Państwowego Gospodarstwa Wodnego Wody Polskie - Zarząd Zlewni w Nysie, Państwowego Powiatowego Inspektora Sanitarnego w Kłodzku</w:t>
      </w:r>
    </w:p>
    <w:p>
      <w:pPr>
        <w:pStyle w:val="Normal"/>
        <w:spacing w:lineRule="auto" w:line="360"/>
        <w:rPr>
          <w:rFonts w:ascii="Calibri" w:hAnsi="Calibri" w:cs="Calibri" w:asciiTheme="minorHAnsi" w:cstheme="minorHAnsi" w:hAnsiTheme="minorHAnsi"/>
          <w:b/>
          <w:b/>
          <w:color w:val="000000" w:themeColor="text1"/>
          <w:sz w:val="24"/>
          <w:szCs w:val="24"/>
        </w:rPr>
      </w:pPr>
      <w:r>
        <w:rPr>
          <w:rFonts w:cs="Calibri" w:ascii="Calibri" w:hAnsi="Calibri" w:asciiTheme="minorHAnsi" w:cstheme="minorHAnsi" w:hAnsiTheme="minorHAnsi"/>
          <w:b/>
          <w:color w:val="000000" w:themeColor="text1"/>
          <w:sz w:val="24"/>
          <w:szCs w:val="24"/>
        </w:rPr>
        <w:t>postanawiam</w:t>
      </w:r>
    </w:p>
    <w:p>
      <w:pPr>
        <w:pStyle w:val="ListParagraph"/>
        <w:numPr>
          <w:ilvl w:val="0"/>
          <w:numId w:val="1"/>
        </w:numPr>
        <w:spacing w:lineRule="auto" w:line="360"/>
        <w:ind w:left="426" w:hanging="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stwierdzić obowiązek przeprowadzenia oceny oddziaływania na środowisko dla planowanego przedsięwzięcia polegającego na budowie instalacji fotowoltaicznej pod nazwą „PRZYGÓRZE PV II” o mocy do 3 MW wraz z niezbędną infrastrukturą techniczną SN/nN, przyłączem kablowym SN oraz kontenerami technicznymi w postaci magazynów energii, zlokalizowanej na działce nr 194/4, obręb Przygórze, Gmina Nowa Ruda;</w:t>
      </w:r>
    </w:p>
    <w:p>
      <w:pPr>
        <w:pStyle w:val="ListParagraph"/>
        <w:numPr>
          <w:ilvl w:val="0"/>
          <w:numId w:val="1"/>
        </w:numPr>
        <w:spacing w:lineRule="auto" w:line="360"/>
        <w:ind w:left="426" w:hanging="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 xml:space="preserve">określić zakres raportu o oddziaływaniu przedsięwzięcia na środowisko, który powinien zostać sporządzony zgodnie z art. 66 ustawy z dnia 3 października 2008 r. </w:t>
      </w:r>
      <w:r>
        <w:rPr>
          <w:rFonts w:cs="Calibri" w:ascii="Calibri" w:hAnsi="Calibri" w:asciiTheme="minorHAnsi" w:cstheme="minorHAnsi" w:hAnsiTheme="minorHAnsi"/>
          <w:iCs/>
          <w:sz w:val="24"/>
          <w:szCs w:val="24"/>
        </w:rPr>
        <w:t>o udostępnianiu informacji o środowisku i jego ochronie, udziale społeczeństwa w ochronie środowiska oraz o ocenach oddziaływania na środowisko (</w:t>
      </w:r>
      <w:r>
        <w:rPr>
          <w:rFonts w:cs="Calibri" w:ascii="Calibri" w:hAnsi="Calibri" w:asciiTheme="minorHAnsi" w:cstheme="minorHAnsi" w:hAnsiTheme="minorHAnsi"/>
          <w:sz w:val="24"/>
          <w:szCs w:val="24"/>
        </w:rPr>
        <w:t>Dz. U. z 2021 r., poz. 247 ze zm.)</w:t>
      </w:r>
      <w:r>
        <w:rPr>
          <w:rFonts w:cs="Calibri" w:ascii="Calibri" w:hAnsi="Calibri" w:asciiTheme="minorHAnsi" w:cstheme="minorHAnsi" w:hAnsiTheme="minorHAnsi"/>
          <w:iCs/>
          <w:sz w:val="24"/>
          <w:szCs w:val="24"/>
        </w:rPr>
        <w:t>,</w:t>
      </w:r>
      <w:r>
        <w:rPr>
          <w:rFonts w:cs="Calibri" w:ascii="Calibri" w:hAnsi="Calibri" w:asciiTheme="minorHAnsi" w:cstheme="minorHAnsi" w:hAnsiTheme="minorHAnsi"/>
          <w:sz w:val="24"/>
          <w:szCs w:val="24"/>
        </w:rPr>
        <w:t xml:space="preserve"> ze szczególnym uwzględnieniem:</w:t>
      </w:r>
    </w:p>
    <w:p>
      <w:pPr>
        <w:pStyle w:val="ListParagraph"/>
        <w:numPr>
          <w:ilvl w:val="0"/>
          <w:numId w:val="2"/>
        </w:numPr>
        <w:spacing w:lineRule="auto" w:line="360"/>
        <w:ind w:left="284" w:hanging="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przedmiotów ochrony i integralności obszaru mającego znaczenie dla Wspólnoty Ostoja Nietoperzy Gór Sowich PLH020071,</w:t>
      </w:r>
    </w:p>
    <w:p>
      <w:pPr>
        <w:pStyle w:val="ListParagraph"/>
        <w:numPr>
          <w:ilvl w:val="0"/>
          <w:numId w:val="2"/>
        </w:numPr>
        <w:spacing w:lineRule="auto" w:line="360"/>
        <w:ind w:left="284" w:hanging="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gatunków roślin i zwierząt chronionych na mocy Rozporządzeń Ministra Środowiska: z dnia 9 października 2014 r. w sprawie ochrony gatunkowej roślin (Dz. U. z 2014 r., poz. 1409) i z dnia 16 grudnia 2016 r. w sprawie ochrony gatunkowej zwierząt (Dz. U. z 2016r., poz. 2183 ze zm.),</w:t>
      </w:r>
    </w:p>
    <w:p>
      <w:pPr>
        <w:pStyle w:val="ListParagraph"/>
        <w:numPr>
          <w:ilvl w:val="0"/>
          <w:numId w:val="2"/>
        </w:numPr>
        <w:spacing w:lineRule="auto" w:line="360"/>
        <w:ind w:left="284" w:hanging="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siedlisk przyrodniczych wymienionych w Rozporządzeniu Ministra Środowiska z dnia 13 kwietnia 2010 r. w sprawie siedlisk przyrodniczych oraz gatunków będących przedmiotem zainteresowania Wspólnoty, a także kryteriów wyrobu obszarów kwalifikujących się do uznania lub wyznaczenia jako obszary Natura 2000 (Dz. U. z 2014 r., poz. 1713),</w:t>
      </w:r>
    </w:p>
    <w:p>
      <w:pPr>
        <w:pStyle w:val="ListParagraph"/>
        <w:numPr>
          <w:ilvl w:val="0"/>
          <w:numId w:val="2"/>
        </w:numPr>
        <w:spacing w:lineRule="auto" w:line="360"/>
        <w:ind w:left="284" w:hanging="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różnorodność biologiczną oraz funkcjonowanie korytarza ekologicznego Góry Złote – Góry Sowie GKZ-7B i lokalnych szlaków migracyjnych zwierząt,</w:t>
      </w:r>
    </w:p>
    <w:p>
      <w:pPr>
        <w:pStyle w:val="ListParagraph"/>
        <w:numPr>
          <w:ilvl w:val="0"/>
          <w:numId w:val="2"/>
        </w:numPr>
        <w:spacing w:lineRule="auto" w:line="360" w:before="0" w:after="240"/>
        <w:ind w:left="284" w:hanging="360"/>
        <w:contextualSpacing/>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krajobraz.</w:t>
      </w:r>
    </w:p>
    <w:p>
      <w:pPr>
        <w:pStyle w:val="Normal"/>
        <w:spacing w:lineRule="auto" w:line="360"/>
        <w:rPr>
          <w:rFonts w:ascii="Calibri" w:hAnsi="Calibri" w:cs="Calibri" w:asciiTheme="minorHAnsi" w:cstheme="minorHAnsi" w:hAnsiTheme="minorHAnsi"/>
          <w:b/>
          <w:b/>
          <w:sz w:val="24"/>
          <w:szCs w:val="24"/>
        </w:rPr>
      </w:pPr>
      <w:r>
        <w:rPr>
          <w:rFonts w:cs="Calibri" w:ascii="Calibri" w:hAnsi="Calibri" w:asciiTheme="minorHAnsi" w:cstheme="minorHAnsi" w:hAnsiTheme="minorHAnsi"/>
          <w:b/>
          <w:sz w:val="24"/>
          <w:szCs w:val="24"/>
        </w:rPr>
        <w:t>UZASADNIENIE</w:t>
      </w:r>
    </w:p>
    <w:p>
      <w:pPr>
        <w:pStyle w:val="Normal"/>
        <w:spacing w:lineRule="auto" w:line="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W dniu 26 października 2021 r. do Urzędu Gminy Nowa Ruda wpłynął wniosek firmy SOLARIUS TECHNOLOGY Sp. z o. o., reprezentowanej przez Pana Jakuba Blocha, w sprawie wydania decyzji o środowiskowych uwarunkowaniach dla przedsięwzięcia polegającego na budowie instalacji fotowoltaicznej pod nazwą „PRZYGÓRZE PV II” o mocy do 3 MW wraz z niezbędną infrastrukturą techniczną SN/nN, przyłączem kablowym SN oraz kontenerami technicznymi w postaci magazynów energii.</w:t>
      </w:r>
    </w:p>
    <w:p>
      <w:pPr>
        <w:pStyle w:val="Normal"/>
        <w:spacing w:lineRule="auto" w:line="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Biorąc pod uwagę treść złożonych materiałów, a w szczególności karty informacyjnej przedsięwzięcia sporządzonej w Warszawie, z dnia 11 września 2021 r. przez Pana Jakuba Blocha, należało stwierdzić, że wnioskowana inwestycja będzie polegać na budowie elektrowni fotowoltaicznej o mocy wytwórczej do 3 MW wraz z infrastrukturą towarzyszącą, na obszarze ok. 2,84 ha.</w:t>
      </w:r>
    </w:p>
    <w:p>
      <w:pPr>
        <w:pStyle w:val="Normal"/>
        <w:spacing w:lineRule="auto" w:line="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 xml:space="preserve">Odnosząc się do warunków usytuowania przedsięwzięcia w odniesieniu do rodzaju terenów sąsiednich ustalono, na podstawie przedłożonych materiałów, że inwestycja znajduje się we wschodniej części gminy Nowa Ruda, w bliskim sąsiedztwie zabudowy mieszkaniowej. Dotychczas teren przedsięwzięcia wykorzystywany jako tereny rolne – grunty orne oraz pastwiska. Na terenie planowanego przedsięwzięcia brak jest obowiązującego miejscowego planu zagospodarowania przestrzennego. </w:t>
      </w:r>
    </w:p>
    <w:p>
      <w:pPr>
        <w:pStyle w:val="Normal"/>
        <w:spacing w:lineRule="auto" w:line="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Na postawie złożonego wniosku, a w szczególności zgodnie z treścią dołączonej karty informacyjnej przedsięwzięcia należało stwierdzić, że wnioskowana inwestycja zgodnie z treścią § 3 ust. 1 pkt 54 lit. a Rozporządzenia Rady Ministrów z dnia 10 września 2019 r. w sprawie przedsięwzięć mogących znacząco oddziaływać na środowisko stanowi przedsięwzięcie mogące potencjalnie znacząco oddziaływać na środowisko. Zgodnie zatem z art. 71 ust. 2 pkt 2 ustawy z dnia 3 października 2008 r. o udostępnianiu informacji o środowisku i jego ochronie, udziale społeczeństwa w ochronie środowiska oraz o ocenach oddziaływania na środowisko planowane przedsięwzięcie wymaga uzyskania decyzji o środowiskowych uwarunkowaniach. Wobec treści art. 75 ust. 1 pkt 4 ustawy, organem właściwym do wydania decyzji o środowiskowych uwarunkowaniach jest Wójt Gminy Nowa Ruda.</w:t>
      </w:r>
    </w:p>
    <w:p>
      <w:pPr>
        <w:pStyle w:val="Normal"/>
        <w:spacing w:lineRule="auto" w:line="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 xml:space="preserve">W związku z powyższym Wójt Gminy Nowa Ruda pismem znak: RPZP.6220.9.2021 z dnia 22 listopada 2021 r. zawiadomił strony o wszczęciu postępowania w sprawie wydania decyzji o środowiskowych uwarunkowaniach dla wnioskowanego przedsięwzięcia informując o możliwości zapoznania się - osobiście lub przez pełnomocnika - z aktami sprawy. </w:t>
      </w:r>
    </w:p>
    <w:p>
      <w:pPr>
        <w:pStyle w:val="Normal"/>
        <w:spacing w:lineRule="auto" w:line="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 xml:space="preserve">W toku prowadzonego postępowania, na podstawie art. 64 ust. 1 ustawy z dnia 3 października 2008 r. o udostępnianiu informacji o środowisku i jego ochronie, udziale społeczeństwa w ochronie środowiska oraz o ocenach oddziaływania na środowisko, przekazując w załączeniu wniosek o wydanie decyzji wraz z kartą informacyjną przedsięwzięcia, Wójt Gminy Nowa Ruda wystąpił do Regionalnego Dyrektora Ochrony Środowiska we Wrocławiu, Państwowego Gospodarstwa Wodnego Wody Polskie - Zarząd Zlewni w Nysie oraz Państwowego Powiatowego Inspektora Sanitarnego w Kłodzku o wydanie opinii co do potrzeby przeprowadzenia oceny oddziaływania przedsięwzięcia na środowisko, a w przypadku stwierdzenia takiej potrzeby, co do zakresu raportu o oddziaływaniu na środowisko wnioskowanego przedsięwzięcia. </w:t>
      </w:r>
    </w:p>
    <w:p>
      <w:pPr>
        <w:pStyle w:val="Normal"/>
        <w:spacing w:lineRule="auto" w:line="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W toku prowadzonego postępowania w sprawie wydania decyzji o środowiskowych uwarunkowaniach, dnia 13 grudnia 2021 r. do Wójta Gminy Nowa Ruda wpłynęła opinia Państwowego Gospodarstwa Wodnego Wody Polskie Zarząd Zlewni w Nysie, znak: WR.ZZŚ.4.435.166.2021.JP z dnia 08 grudnia 2021 r., w której ustalono, że nie zachodzi potrzeba przeprowadzenia oceny oddziaływania przedsięwzięcia na środowisko oraz wskazuje na konieczność określenia w decyzji o środowiskowych uwarunkowaniach następujących wymagań:</w:t>
      </w:r>
    </w:p>
    <w:p>
      <w:pPr>
        <w:pStyle w:val="ListParagraph"/>
        <w:numPr>
          <w:ilvl w:val="0"/>
          <w:numId w:val="3"/>
        </w:numPr>
        <w:spacing w:lineRule="auto" w:line="360"/>
        <w:ind w:left="426" w:hanging="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w trakcie realizacji przedsięwzięcia bazę sprzętową należy usytuować na utwardzonym i szczelnym podłożu;</w:t>
      </w:r>
    </w:p>
    <w:p>
      <w:pPr>
        <w:pStyle w:val="ListParagraph"/>
        <w:numPr>
          <w:ilvl w:val="0"/>
          <w:numId w:val="3"/>
        </w:numPr>
        <w:spacing w:lineRule="auto" w:line="360"/>
        <w:ind w:left="426" w:hanging="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w przypadku skażenia gruntu substancjami ropopochodnymi, należy niezwłocznie zastosować sorbent oraz usunąć skażoną warstwę gruntu, a teren przywrócić do stanu pierwotnego.</w:t>
      </w:r>
    </w:p>
    <w:p>
      <w:pPr>
        <w:pStyle w:val="Normal"/>
        <w:spacing w:lineRule="auto" w:line="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Dnia 07 grudnia 2021 r. do Wójta Gminy Nowa Ruda wpłynęła opinia Regionalnego Dyrektora Ochrony Środowiska we Wrocławiu z dnia 07 grudnia 2021 r., znak: WOOŚ. 4220.804.2021.AP.1, w którym organ wyraził opinię, że dla planowanego przedsięwzięcia istnieje potrzeba przeprowadzenia oceny oddziaływania na środowisko. Organ jednocześnie określił zakres raportu, który powinien być sporządzony zgodnie z art. 66 ustawy, a ponadto zawierać analizę poniższych zagadnień:</w:t>
      </w:r>
    </w:p>
    <w:p>
      <w:pPr>
        <w:pStyle w:val="ListParagraph"/>
        <w:numPr>
          <w:ilvl w:val="0"/>
          <w:numId w:val="4"/>
        </w:numPr>
        <w:spacing w:lineRule="auto" w:line="360"/>
        <w:ind w:left="426" w:hanging="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przedmioty ochrony i integralności obszaru mającego znaczenie dla Wspólnoty Ostoja Nietoperzy Gór Sowich PLH020071,</w:t>
      </w:r>
    </w:p>
    <w:p>
      <w:pPr>
        <w:pStyle w:val="ListParagraph"/>
        <w:numPr>
          <w:ilvl w:val="0"/>
          <w:numId w:val="4"/>
        </w:numPr>
        <w:spacing w:lineRule="auto" w:line="360"/>
        <w:ind w:left="426" w:hanging="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gatunki roślin i zwierząt chronionych na mocy Rozporządzeń Ministra Środowiska: z dnia 9 października 2014 r. w sprawie ochrony gatunkowej roślin (Dz. U. z 2014 r., poz. 1409) i z dnia 16 grudnia 2016 r. w sprawie ochrony gatunkowej zwierząt (Dz. U. z 2016r., poz. 2183 ze zm.),</w:t>
      </w:r>
    </w:p>
    <w:p>
      <w:pPr>
        <w:pStyle w:val="ListParagraph"/>
        <w:numPr>
          <w:ilvl w:val="0"/>
          <w:numId w:val="4"/>
        </w:numPr>
        <w:spacing w:lineRule="auto" w:line="360"/>
        <w:ind w:left="426" w:hanging="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siedliska przyrodniczych wymienionych w Rozporządzeniu Ministra Środowiska z dnia 13 kwietnia 2010 r. w sprawie siedlisk przyrodniczych oraz gatunków będących przedmiotem zainteresowania Wspólnoty, a także kryteriów wyrobu obszarów kwalifikujących się do uznania lub wyznaczenia jako obszary Natura 2000 (Dz. U. z 2014 r., poz. 1713),</w:t>
      </w:r>
    </w:p>
    <w:p>
      <w:pPr>
        <w:pStyle w:val="ListParagraph"/>
        <w:numPr>
          <w:ilvl w:val="0"/>
          <w:numId w:val="4"/>
        </w:numPr>
        <w:spacing w:lineRule="auto" w:line="360"/>
        <w:ind w:left="426" w:hanging="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różnorodność biologiczną oraz funkcjonowanie korytarza ekologicznego Góry Złote – Góry Sowie GKZ-7B i lokalnych szlaków migracyjnych zwierząt,</w:t>
      </w:r>
    </w:p>
    <w:p>
      <w:pPr>
        <w:pStyle w:val="ListParagraph"/>
        <w:numPr>
          <w:ilvl w:val="0"/>
          <w:numId w:val="4"/>
        </w:numPr>
        <w:spacing w:lineRule="auto" w:line="360"/>
        <w:ind w:left="426" w:hanging="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krajobraz.</w:t>
      </w:r>
    </w:p>
    <w:p>
      <w:pPr>
        <w:pStyle w:val="Normal"/>
        <w:spacing w:lineRule="auto" w:line="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Lokalizacja siedlisk przyrodniczych i stanowisk gatunków chronionych powinna został stwierdzona na podstawie inwentaryzacji przyrodniczej wykonanej przez odpowiednich specjalistów w okresie wegetacji roślin i aktywności zwierząt.</w:t>
      </w:r>
    </w:p>
    <w:p>
      <w:pPr>
        <w:pStyle w:val="Normal"/>
        <w:spacing w:lineRule="auto" w:line="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Ponadto raport powinien zawierać analizę wpływu przedsięwzięcia na cele działań ochronnych obszaru Natura 2000 Ostoja Nietoperzy Gór Sowich PLH020071, określone w zarządzenia Regionalnego Dyrektora Ochrony Środowiska we Wrocławiu z dnia 23 września 2014 r. w sprawie ustanowienia planu zadań ochronnych dla obszaru Natura 2000 Ostoja Nietoperzy Gór Sowich PLH020071 (Dz. Urz. Woj. Dolno. z 2013 r., poz. 3245 ze zm.)</w:t>
      </w:r>
    </w:p>
    <w:p>
      <w:pPr>
        <w:pStyle w:val="Normal"/>
        <w:spacing w:lineRule="auto" w:line="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Analiza wpływu przedsięwzięcia na środowisko przyrodnicze winna obejmować etap jego realizacji i eksploatacji oraz oddziaływania skumulowane z innymi inwestycjami, w tym zwłaszcza inwestycjami polegającymi na budowie obiektów fotowoltaicznych w promieniu do 5 km (a przede wszystkim w obrębach Pogórze i Wolibórz). W przypadku stwierdzenia negatywnego oddziaływania przedsięwzięcia na środowisko przyrodnicze, raport winien zawierać opis przewidywanych działań mających na celu zapobieganie i ograniczenie negatywnych oddziaływań oraz wskazywać rozwiązania alternatywne (włącznie z rezygnacją z realizacji przedsięwzięcia lub ograniczeniem jego zakresu), a w przypadku braku możliwości zabezpieczenia poszczególnych elementów środowiska przed zniszczeniem, wskazywać warunki adekwatnej kompensacji przyrodniczej — w rozumieniu art. 75 ust. 3 ustawy z dnia 27 kwietnia 2001 r. Prawo ochrony środowiska (t.  j. Dz.  U. z 2021 r., poz. 1973).</w:t>
      </w:r>
    </w:p>
    <w:p>
      <w:pPr>
        <w:pStyle w:val="Normal"/>
        <w:spacing w:lineRule="auto" w:line="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Dodatkowo należy rozważyć możliwość wdrożenia rozwiązań wpływających na wzrost bioróżnorodności przedmiotowego terenu na etapie eksploatacji przedsięwzięcia, np. strefy nektarodajne, krzewy przy ogrodzeniu, „domki” dla owadów itp. W przypadku zamiaru wdrożenia ww. działań należy je opisać w raporcie wraz ze wskazaniem lokalizacji oraz parametrów, które gwarantować będą ich funkcjonalność.</w:t>
      </w:r>
    </w:p>
    <w:p>
      <w:pPr>
        <w:pStyle w:val="Normal"/>
        <w:spacing w:lineRule="auto" w:line="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Ocena oddziaływania na środowisko planowanego przedsięwzięcia powinna zostać przeprowadzona dla najbardziej niekorzystnych dla środowiska parametrów pracy (łączne funkcjonowanie wszystkich źródeł emisji tj. hałas, oddziaływanie pól elektromagnetycznych itp., których jednoczesna praca jest możliwa pod względem technicznym, maksymalne parametry pracy, maksymalny bilans ruchu pojazdów -uwzględnienie najbardziej niekorzystnych warunków).</w:t>
      </w:r>
    </w:p>
    <w:p>
      <w:pPr>
        <w:pStyle w:val="Normal"/>
        <w:spacing w:lineRule="auto" w:line="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Uzasadniając swoje stanowisko Regionalny Dyrektor Ochrony Środowiska we Wrocławiu po przeanalizowaniu możliwości oddziaływania przedmiotowego przedsięwzięcia w zakresie aspektów przyrodniczych, stwierdził, że w zasięgu oddziaływania planowanej inwestycji nie występują obszary przylegające do jezior, obszary wodno-błotne i inne obszary o płytkim zaleganiu wód podziemnych, w tym siedliska łęgowe i ujścia rzek. Inwestycja realizowana będzie w granicach obszaru mającego znaczenie dla Wspólnoty Ostoja Nietoperzy Gór Sowich PLH020071, a w bezpośrednim sąsiedztwie działki inwestycyjnej znajduje się Park Krajobrazowy Gór Sowich. Najbliższy Obszar Specjalnej Ochrony ptak6w Sudety Wałbrzysko-Kamiennogórskie PLB020010 zlokalizowany jest w odległości ok. 11 km. Działka objęta inwestycją położona jest w granicach korytarza ekologicznego Góry Złote — Góry Sowie GKZ-7B. Przedsięwzięcie zlokalizowane będzie w obszarze górskim.</w:t>
      </w:r>
    </w:p>
    <w:p>
      <w:pPr>
        <w:pStyle w:val="Normal"/>
        <w:spacing w:lineRule="auto" w:line="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Realizacja inwestycji wiązać będzie się ze zmianą sposobu wykorzystania terenu, który obecnie stanowi użytki rolne pozbawione zabudowy oraz elementów infrastruktury, dzięki czemu możliwe jest spontaniczne wkraczanie roślinności. Przedsięwzięcie zlokalizowane będzie w bezpośrednim sąsiedztwie kompleksu leśnego. Zmiana sposobu zagospodarowania terenu może prowadzić do zniszczenia potencjalnych siedlisk chronionych gatunków roślin, a także siedlisk przyrodniczych, w szczególności łąkowych, mogących stanowić przedmioty ochrony obszaru mającego znaczenie dla Wspólnoty Ostoja Nietoperzy Gór Sowich PLH020071. Ponadto obszar planowanej inwestycji może być wykorzystywany przez zwierzęta w trakcie lokalnych i ponadlokalnych migracji albo jako miejsce bytowania (w tym żerowania), w szczególności przez ptaki — praktycznie wszystkie gatunki ptaków występujące na terenie Polski objęte są ochroną na mocy rozporządzenia Ministra Środowiska z dnia 16 grudnia 2016 r. w sprawie ochrony gatunkowej zwierząt (Dz. U. z 2016 r., poz. 2183 ze zm.). Po przekształceniu powierzchni terenu warunki bytowania mogą zostać zakłócone, co może negatywnie oddziaływać na lokalne środowisko przyrodnicze. Dodatkowo skutkiem realizacji przedsięwzięcia będzie wykonanie ogrodzenia i fragmentacja terenów otwartych, co może wpływać na dostępność żerowisk dla średnich i dużych zwierząt oraz zakłócać lokalne migracje. Ponadto na terenie przeznaczonym pod planowane przedsięwzięcie realizowany był program rolno-środowiskowo-klimatyczny: pakiet 4 - Cenne siedliska i zagrożone gatunki ptaków na obszarach Natura 2000, wariant 4.5 — Półnaturalne łąki świeże.</w:t>
      </w:r>
    </w:p>
    <w:p>
      <w:pPr>
        <w:pStyle w:val="Normal"/>
        <w:spacing w:lineRule="auto" w:line="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Należy także zwrócić uwagę, że przedsięwzięcie może negatywnie wpływać na walory krajobrazowe - konieczne może być zastosowanie działań ograniczających wpływ na ten element środowiska przyrodniczego poprzez ograniczenie postrzegania farmy w przestrzeni.</w:t>
      </w:r>
    </w:p>
    <w:p>
      <w:pPr>
        <w:pStyle w:val="Normal"/>
        <w:spacing w:lineRule="auto" w:line="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Mając na uwadze powyższe, w szczególności uwzględniając lokalizację inwestycji w granicach obszaru Natura 2000 Ostoja Nietoperzy Gór Sowich PLH020071, dla przedmiotowej inwestycji konieczne jest przeprowadzenie oceny oddziaływania na środowisko.</w:t>
      </w:r>
    </w:p>
    <w:p>
      <w:pPr>
        <w:pStyle w:val="Normal"/>
        <w:spacing w:lineRule="auto" w:line="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Zgodnie z art. 63 ust. 1 ustawy o udostępnianiu informacji o środowisku i jego ochronie, udziale społeczeństwa w ochronie środowiska oraz o ocenach oddziaływania na środowisko,</w:t>
      </w:r>
      <w:r>
        <w:rPr>
          <w:rFonts w:cs="Calibri" w:ascii="Calibri" w:hAnsi="Calibri" w:asciiTheme="minorHAnsi" w:cstheme="minorHAnsi" w:hAnsiTheme="minorHAnsi"/>
          <w:color w:val="333333"/>
          <w:sz w:val="24"/>
          <w:szCs w:val="24"/>
          <w:shd w:fill="FFFFFF" w:val="clear"/>
        </w:rPr>
        <w:t xml:space="preserve"> obowiązek przeprowadzenia oceny oddziaływania przedsięwzięcia na środowisko dla planowanego </w:t>
      </w:r>
      <w:r>
        <w:rPr>
          <w:rFonts w:cs="Calibri" w:ascii="Calibri" w:hAnsi="Calibri" w:asciiTheme="minorHAnsi" w:cstheme="minorHAnsi" w:hAnsiTheme="minorHAnsi"/>
          <w:color w:val="000000" w:themeColor="text1"/>
          <w:sz w:val="24"/>
          <w:szCs w:val="24"/>
          <w:shd w:fill="FFFFFF" w:val="clear"/>
        </w:rPr>
        <w:t xml:space="preserve">przedsięwzięcia mogącego potencjalnie znacząco oddziaływać na środowisko stwierdza, w drodze postanowienia, organ właściwy do wydania decyzji o środowiskowych uwarunkowaniach, uwzględniając łącznie następujące kryteria: rodzaj i charakterystykę przedsięwzięcia, usytuowanie przedsięwzięcia, z uwzględnieniem możliwego zagrożenia dla środowiska oraz rodzaj, cechy i skalę możliwego oddziaływania. Jednocześnie przepis </w:t>
      </w:r>
      <w:r>
        <w:rPr>
          <w:rFonts w:cs="Calibri" w:ascii="Calibri" w:hAnsi="Calibri" w:asciiTheme="minorHAnsi" w:cstheme="minorHAnsi" w:hAnsiTheme="minorHAnsi"/>
          <w:color w:val="000000" w:themeColor="text1"/>
          <w:sz w:val="24"/>
          <w:szCs w:val="24"/>
        </w:rPr>
        <w:t>§ 3 ust. 1 pkt 54 lit. a Rozporządzenia Rady Ministrów z dnia 10 września 2019 r. w sprawie przedsięwzięć mogących znacząco oddziaływać na środowisko (tj. Dz. U. z 2019 r., poz. 1839) zalicza przedsięwzięcie w postaci zabudowa przemysłowa, w tym zabudowa systemami fotowoltaicznymi, lub magazynowa, wraz z towarzyszącą jej infrastrukturą, o powierzchni zabudowy nie mniejszej niż 0,5 ha na obszarach objętych formami ochrony przyrody, o których mowa w art. 6 ust. 1 pkt 1-5, 8 i 9 ustawy z dnia 16 kwietnia 2004 r. o ochronie przyrody, lub w otulinach form ochrony przyrody, o których mowa w art. 6 ust. 1 pkt 1-3 tej ustawy, do kategorii przedsięwzięć potencjalnie znacząco oddziałujących na środowisko.</w:t>
      </w:r>
    </w:p>
    <w:p>
      <w:pPr>
        <w:pStyle w:val="Normal"/>
        <w:spacing w:lineRule="auto" w:line="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 xml:space="preserve">W związku z powyższym Wójt Gminy Nowa Ruda, </w:t>
      </w:r>
      <w:r>
        <w:rPr>
          <w:rFonts w:cs="Calibri" w:ascii="Calibri" w:hAnsi="Calibri" w:asciiTheme="minorHAnsi" w:cstheme="minorHAnsi" w:hAnsiTheme="minorHAnsi"/>
          <w:color w:val="000000" w:themeColor="text1"/>
          <w:sz w:val="24"/>
          <w:szCs w:val="24"/>
          <w:shd w:fill="FFFFFF" w:val="clear"/>
        </w:rPr>
        <w:t>uwzględniając łącznie kryteria</w:t>
      </w:r>
      <w:r>
        <w:rPr>
          <w:rFonts w:cs="Calibri" w:ascii="Calibri" w:hAnsi="Calibri" w:asciiTheme="minorHAnsi" w:cstheme="minorHAnsi" w:hAnsiTheme="minorHAnsi"/>
          <w:sz w:val="24"/>
          <w:szCs w:val="24"/>
        </w:rPr>
        <w:t xml:space="preserve"> wskazane w art. 63 ust. 1 ustawy oraz po zapoznaniu się ze stanowiskami organów opiniujących, uznał za konieczne przeprowadzenie oceny oddziaływania przedsięwzięcia na środowisko i określił zakres raportu. Raport winien w całości uwzględniać wymogi art. 66 ustawy z dnia 3 października 2008 r. o udostępnianiu informacji o środowisku i jego ochronie, udziale społeczeństwa w ochronie środowiska oraz o ocenach oddziaływania na środowisko, jak również winien zawierać szczegółową analizę zagadnień wskazanych w opinii Regionalnego Dyrektora Ochrony Środowiska we Wrocławiu. </w:t>
        <w:tab/>
      </w:r>
    </w:p>
    <w:p>
      <w:pPr>
        <w:pStyle w:val="Normal"/>
        <w:spacing w:lineRule="auto" w:line="36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W dniu 21 grudnia 2021 r. do Wójta Gminy Nowa Ruda wpłynęła opinia Państwowego Powiatowego Inspektora Sanitarnego w Kłodzku z dnia 16 grudnia 2021 r., znak: NS.ZNS.9022.7.16.2021.AZ, w której organ wyraził opinię, że dla planowanego przedsięwzięcia istnieje potrzeba przeprowadzenia oceny oddziaływania na środowisko. Organ jednocześnie określił zakres raportu, który powinien być sporządzony zgodnie z art. 66 ustawy z dnia 3 października 2008 r. o udostępnianiu informacji o środowisku i jego ochronie, udziale społeczeństwa w ochronie środowiska oraz o ocenach oddziaływania na środowisko (Dz. U. z 2021 r., poz. 247 ze zm.).</w:t>
      </w:r>
    </w:p>
    <w:p>
      <w:pPr>
        <w:pStyle w:val="Normal"/>
        <w:spacing w:lineRule="auto" w:line="360" w:before="0" w:after="240"/>
        <w:rPr>
          <w:rFonts w:ascii="Calibri" w:hAnsi="Calibri" w:cs="Calibri" w:asciiTheme="minorHAnsi" w:cstheme="minorHAnsi" w:hAnsiTheme="minorHAnsi"/>
          <w:kern w:val="2"/>
          <w:sz w:val="24"/>
          <w:szCs w:val="24"/>
        </w:rPr>
      </w:pPr>
      <w:r>
        <w:rPr>
          <w:rFonts w:cs="Calibri" w:ascii="Calibri" w:hAnsi="Calibri" w:asciiTheme="minorHAnsi" w:cstheme="minorHAnsi" w:hAnsiTheme="minorHAnsi"/>
          <w:kern w:val="2"/>
          <w:sz w:val="24"/>
          <w:szCs w:val="24"/>
        </w:rPr>
        <w:t>Biorąc pod uwagę powyższe orzeczono jak w sentencji.</w:t>
      </w:r>
    </w:p>
    <w:p>
      <w:pPr>
        <w:pStyle w:val="Normal"/>
        <w:spacing w:lineRule="auto" w:line="360"/>
        <w:rPr>
          <w:rFonts w:ascii="Calibri" w:hAnsi="Calibri" w:cs="Calibri" w:asciiTheme="minorHAnsi" w:cstheme="minorHAnsi" w:hAnsiTheme="minorHAnsi"/>
          <w:b/>
          <w:b/>
          <w:sz w:val="24"/>
          <w:szCs w:val="24"/>
        </w:rPr>
      </w:pPr>
      <w:r>
        <w:rPr>
          <w:rFonts w:cs="Calibri" w:ascii="Calibri" w:hAnsi="Calibri" w:asciiTheme="minorHAnsi" w:cstheme="minorHAnsi" w:hAnsiTheme="minorHAnsi"/>
          <w:b/>
          <w:sz w:val="24"/>
          <w:szCs w:val="24"/>
        </w:rPr>
        <w:t>POUCZENIE</w:t>
      </w:r>
    </w:p>
    <w:p>
      <w:pPr>
        <w:pStyle w:val="Normal"/>
        <w:spacing w:lineRule="auto" w:line="360" w:before="0" w:after="24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 xml:space="preserve">Na niniejsze postanowienie przysługuje stronom zażalenie za pośrednictwem Wójta Gminy Nowa Ruda do Samorządowego Kolegium Odwoławczego w Wałbrzychu w terminie 7 dni od dnia jego odbioru. Doręczenie uważa się za dokonane po upływie 14 dni od dnia publicznego ogłoszenia. </w:t>
      </w:r>
    </w:p>
    <w:p>
      <w:pPr>
        <w:pStyle w:val="Normal"/>
        <w:spacing w:lineRule="auto" w:line="360" w:before="240" w:after="0"/>
        <w:ind w:left="3828" w:hanging="0"/>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/Wójt Gminy Nowa Ruda – Adrianna Mierzejewska/</w:t>
      </w:r>
    </w:p>
    <w:sectPr>
      <w:type w:val="nextPage"/>
      <w:pgSz w:w="11906" w:h="16838"/>
      <w:pgMar w:left="1417" w:right="1417" w:header="0" w:top="1135"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Arial">
    <w:charset w:val="ee"/>
    <w:family w:val="roman"/>
    <w:pitch w:val="variable"/>
  </w:font>
  <w:font w:name="Calibri Light">
    <w:charset w:val="ee"/>
    <w:family w:val="roman"/>
    <w:pitch w:val="variable"/>
  </w:font>
  <w:font w:name="Liberation Sans">
    <w:altName w:val="Arial"/>
    <w:charset w:val="ee"/>
    <w:family w:val="swiss"/>
    <w:pitch w:val="variable"/>
  </w:font>
  <w:font w:name="Times New Roman">
    <w:charset w:val="ee"/>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a072c"/>
    <w:pPr>
      <w:widowControl/>
      <w:bidi w:val="0"/>
      <w:spacing w:lineRule="auto" w:line="240" w:before="0" w:after="0"/>
      <w:jc w:val="left"/>
    </w:pPr>
    <w:rPr>
      <w:rFonts w:ascii="Arial" w:hAnsi="Arial" w:eastAsia="Times New Roman" w:cs="Times New Roman"/>
      <w:color w:val="auto"/>
      <w:kern w:val="0"/>
      <w:sz w:val="22"/>
      <w:szCs w:val="22"/>
      <w:lang w:eastAsia="pl-PL" w:val="pl-PL" w:bidi="ar-SA"/>
    </w:rPr>
  </w:style>
  <w:style w:type="paragraph" w:styleId="Nagwek1">
    <w:name w:val="Heading 1"/>
    <w:basedOn w:val="Normal"/>
    <w:next w:val="Normal"/>
    <w:link w:val="Nagwek1Znak"/>
    <w:uiPriority w:val="9"/>
    <w:qFormat/>
    <w:rsid w:val="00ca072c"/>
    <w:pPr>
      <w:keepNext w:val="true"/>
      <w:spacing w:before="240" w:after="60"/>
      <w:outlineLvl w:val="0"/>
    </w:pPr>
    <w:rPr>
      <w:rFonts w:ascii="Calibri Light" w:hAnsi="Calibri Light"/>
      <w:b/>
      <w:bCs/>
      <w:kern w:val="2"/>
      <w:sz w:val="32"/>
      <w:szCs w:val="32"/>
    </w:rPr>
  </w:style>
  <w:style w:type="character" w:styleId="DefaultParagraphFont" w:default="1">
    <w:name w:val="Default Paragraph Font"/>
    <w:uiPriority w:val="1"/>
    <w:semiHidden/>
    <w:unhideWhenUsed/>
    <w:qFormat/>
    <w:rPr/>
  </w:style>
  <w:style w:type="character" w:styleId="Nagwek1Znak" w:customStyle="1">
    <w:name w:val="Nagłówek 1 Znak"/>
    <w:basedOn w:val="DefaultParagraphFont"/>
    <w:link w:val="Nagwek1"/>
    <w:uiPriority w:val="9"/>
    <w:qFormat/>
    <w:rsid w:val="00ca072c"/>
    <w:rPr>
      <w:rFonts w:ascii="Calibri Light" w:hAnsi="Calibri Light" w:eastAsia="Times New Roman" w:cs="Times New Roman"/>
      <w:b/>
      <w:bCs/>
      <w:kern w:val="2"/>
      <w:sz w:val="32"/>
      <w:szCs w:val="32"/>
      <w:lang w:eastAsia="pl-PL"/>
    </w:rPr>
  </w:style>
  <w:style w:type="character" w:styleId="TekstpodstawowyZnak" w:customStyle="1">
    <w:name w:val="Tekst podstawowy Znak"/>
    <w:basedOn w:val="DefaultParagraphFont"/>
    <w:link w:val="Tekstpodstawowy"/>
    <w:semiHidden/>
    <w:qFormat/>
    <w:rsid w:val="00ca072c"/>
    <w:rPr>
      <w:rFonts w:ascii="Arial" w:hAnsi="Arial" w:eastAsia="Times New Roman" w:cs="Times New Roman"/>
      <w:lang w:eastAsia="pl-PL"/>
    </w:rPr>
  </w:style>
  <w:style w:type="paragraph" w:styleId="Nagwek">
    <w:name w:val="Nagłówek"/>
    <w:basedOn w:val="Normal"/>
    <w:next w:val="Tretekstu"/>
    <w:qFormat/>
    <w:pPr>
      <w:keepNext w:val="true"/>
      <w:spacing w:before="240" w:after="120"/>
    </w:pPr>
    <w:rPr>
      <w:rFonts w:ascii="Liberation Sans" w:hAnsi="Liberation Sans" w:eastAsia="Microsoft YaHei" w:cs="Lucida Sans"/>
      <w:sz w:val="28"/>
      <w:szCs w:val="28"/>
    </w:rPr>
  </w:style>
  <w:style w:type="paragraph" w:styleId="Tretekstu">
    <w:name w:val="Body Text"/>
    <w:basedOn w:val="Normal"/>
    <w:link w:val="TekstpodstawowyZnak"/>
    <w:semiHidden/>
    <w:rsid w:val="00ca072c"/>
    <w:pPr>
      <w:spacing w:before="0" w:after="120"/>
    </w:pPr>
    <w:rPr/>
  </w:style>
  <w:style w:type="paragraph" w:styleId="Lista">
    <w:name w:val="List"/>
    <w:basedOn w:val="Tretekstu"/>
    <w:pPr/>
    <w:rPr>
      <w:rFonts w:cs="Lucida Sans"/>
    </w:rPr>
  </w:style>
  <w:style w:type="paragraph" w:styleId="Podpis">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Style13" w:customStyle="1">
    <w:name w:val="Ś"/>
    <w:basedOn w:val="Normal"/>
    <w:qFormat/>
    <w:rsid w:val="00ca072c"/>
    <w:pPr>
      <w:jc w:val="both"/>
    </w:pPr>
    <w:rPr>
      <w:rFonts w:ascii="Times New Roman" w:hAnsi="Times New Roman"/>
      <w:spacing w:val="36"/>
      <w:sz w:val="24"/>
      <w:szCs w:val="20"/>
    </w:rPr>
  </w:style>
  <w:style w:type="paragraph" w:styleId="ListParagraph">
    <w:name w:val="List Paragraph"/>
    <w:basedOn w:val="Normal"/>
    <w:uiPriority w:val="34"/>
    <w:qFormat/>
    <w:rsid w:val="00af1d88"/>
    <w:pPr>
      <w:spacing w:before="0" w:after="0"/>
      <w:ind w:left="720" w:hanging="0"/>
      <w:contextualSpacing/>
    </w:pPr>
    <w:rPr/>
  </w:style>
  <w:style w:type="numbering" w:styleId="NoList" w:default="1">
    <w:name w:val="No List"/>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Application>LibreOffice/7.1.4.2$Windows_X86_64 LibreOffice_project/a529a4fab45b75fefc5b6226684193eb000654f6</Application>
  <AppVersion>15.0000</AppVersion>
  <Pages>2</Pages>
  <Words>2230</Words>
  <Characters>14386</Characters>
  <CharactersWithSpaces>16574</CharactersWithSpaces>
  <Paragraphs>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2021-12-27T09:49:00Z</dcterms:created>
  <dc:creator>Eliza</dc:creator>
  <dc:description/>
  <dc:language>pl-PL</dc:language>
  <cp:lastModifiedBy>Eliza</cp:lastModifiedBy>
  <dcterms:modified xsi:type="dcterms:W3CDTF">2021-12-27T10:00:00Z</dcterms:modified>
  <cp:revision>1</cp:revision>
  <dc:subject/>
  <dc:title/>
</cp:coreProperties>
</file>

<file path=docProps/custom.xml><?xml version="1.0" encoding="utf-8"?>
<Properties xmlns="http://schemas.openxmlformats.org/officeDocument/2006/custom-properties" xmlns:vt="http://schemas.openxmlformats.org/officeDocument/2006/docPropsVTypes"/>
</file>